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jc w:val="center"/>
        <w:rPr>
          <w:rFonts w:ascii="Times New Roman" w:cs="Times New Roman" w:hAnsi="Times New Roman"/>
          <w:b/>
          <w:bCs/>
        </w:rPr>
      </w:pPr>
      <w:r>
        <w:rPr>
          <w:rFonts w:ascii="Times New Roman" w:cs="Times New Roman" w:hAnsi="Times New Roman"/>
          <w:b/>
          <w:bCs/>
        </w:rPr>
        <w:t>An Intelligent Analytic Framework for Infrastructure Safety: Using Machine Learning to Predict Critical Joint Failures in Steel Bridges</w:t>
      </w:r>
    </w:p>
    <w:p>
      <w:pPr>
        <w:pStyle w:val="style0"/>
        <w:jc w:val="center"/>
        <w:rPr>
          <w:rFonts w:ascii="Times New Roman" w:cs="Times New Roman" w:hAnsi="Times New Roman"/>
          <w:b/>
          <w:bCs/>
        </w:rPr>
      </w:pPr>
    </w:p>
    <w:p>
      <w:pPr>
        <w:pStyle w:val="style0"/>
        <w:jc w:val="center"/>
        <w:rPr>
          <w:rFonts w:ascii="Times New Roman" w:cs="Times New Roman" w:hAnsi="Times New Roman"/>
        </w:rPr>
      </w:pPr>
      <w:r>
        <w:rPr>
          <w:rFonts w:ascii="Times New Roman" w:cs="Times New Roman" w:hAnsi="Times New Roman"/>
        </w:rPr>
        <w:t>Enobong</w:t>
      </w:r>
      <w:r>
        <w:rPr>
          <w:rFonts w:ascii="Times New Roman" w:cs="Times New Roman" w:hAnsi="Times New Roman"/>
        </w:rPr>
        <w:t xml:space="preserve"> Cornelius Frank</w:t>
      </w:r>
      <w:r>
        <w:rPr>
          <w:rFonts w:ascii="Times New Roman" w:cs="Times New Roman" w:hAnsi="Times New Roman"/>
          <w:vertAlign w:val="superscript"/>
        </w:rPr>
        <w:t>1</w:t>
      </w:r>
      <w:r>
        <w:rPr>
          <w:rFonts w:ascii="Times New Roman" w:cs="Times New Roman" w:hAnsi="Times New Roman"/>
        </w:rPr>
        <w:t>, Ekemini Anietie John</w:t>
      </w:r>
      <w:r>
        <w:rPr>
          <w:rFonts w:ascii="Times New Roman" w:cs="Times New Roman" w:hAnsi="Times New Roman"/>
          <w:lang w:val="en-US"/>
        </w:rPr>
        <w:t>s</w:t>
      </w:r>
      <w:r>
        <w:rPr>
          <w:rFonts w:ascii="Times New Roman" w:cs="Times New Roman" w:hAnsi="Times New Roman"/>
        </w:rPr>
        <w:t>on</w:t>
      </w:r>
      <w:r>
        <w:rPr>
          <w:rFonts w:ascii="Times New Roman" w:cs="Times New Roman" w:hAnsi="Times New Roman"/>
          <w:vertAlign w:val="superscript"/>
        </w:rPr>
        <w:t>2</w:t>
      </w:r>
      <w:r>
        <w:rPr>
          <w:rFonts w:ascii="Times New Roman" w:cs="Times New Roman" w:hAnsi="Times New Roman"/>
        </w:rPr>
        <w:t xml:space="preserve"> and Imo</w:t>
      </w:r>
      <w:r>
        <w:rPr>
          <w:rFonts w:ascii="Times New Roman" w:cs="Times New Roman" w:hAnsi="Times New Roman"/>
          <w:lang w:val="en-US"/>
        </w:rPr>
        <w:t>h</w:t>
      </w:r>
      <w:r>
        <w:rPr>
          <w:rFonts w:ascii="Times New Roman" w:cs="Times New Roman" w:hAnsi="Times New Roman"/>
        </w:rPr>
        <w:t xml:space="preserve">  Edem </w:t>
      </w:r>
      <w:r>
        <w:rPr>
          <w:rFonts w:ascii="Times New Roman" w:cs="Times New Roman" w:hAnsi="Times New Roman"/>
          <w:lang w:val="en-US"/>
        </w:rPr>
        <w:t>Nyong</w:t>
      </w:r>
      <w:r>
        <w:rPr>
          <w:rFonts w:ascii="Times New Roman" w:cs="Times New Roman" w:hAnsi="Times New Roman"/>
          <w:vertAlign w:val="superscript"/>
        </w:rPr>
        <w:t>1</w:t>
      </w:r>
    </w:p>
    <w:p>
      <w:pPr>
        <w:pStyle w:val="style0"/>
        <w:spacing w:after="0"/>
        <w:jc w:val="center"/>
        <w:rPr>
          <w:rFonts w:ascii="Times New Roman" w:cs="Times New Roman" w:hAnsi="Times New Roman"/>
          <w:b/>
          <w:bCs/>
          <w:i/>
          <w:iCs/>
        </w:rPr>
      </w:pPr>
      <w:r>
        <w:rPr>
          <w:rFonts w:ascii="Times New Roman" w:cs="Times New Roman" w:hAnsi="Times New Roman"/>
          <w:b/>
          <w:bCs/>
          <w:i/>
          <w:iCs/>
          <w:vertAlign w:val="superscript"/>
        </w:rPr>
        <w:t>1</w:t>
      </w:r>
      <w:r>
        <w:rPr>
          <w:rFonts w:ascii="Times New Roman" w:cs="Times New Roman" w:hAnsi="Times New Roman"/>
          <w:b/>
          <w:bCs/>
          <w:i/>
          <w:iCs/>
        </w:rPr>
        <w:t xml:space="preserve">Department of Civil Engineering Technology, Federal Polytechnic </w:t>
      </w:r>
      <w:r>
        <w:rPr>
          <w:rFonts w:ascii="Times New Roman" w:cs="Times New Roman" w:hAnsi="Times New Roman"/>
          <w:b/>
          <w:bCs/>
          <w:i/>
          <w:iCs/>
        </w:rPr>
        <w:t>Ukana</w:t>
      </w:r>
    </w:p>
    <w:p>
      <w:pPr>
        <w:pStyle w:val="style0"/>
        <w:spacing w:after="0"/>
        <w:jc w:val="center"/>
        <w:rPr>
          <w:rFonts w:ascii="Times New Roman" w:cs="Times New Roman" w:hAnsi="Times New Roman"/>
          <w:b/>
          <w:bCs/>
          <w:i/>
          <w:iCs/>
        </w:rPr>
      </w:pPr>
      <w:r>
        <w:rPr>
          <w:rFonts w:ascii="Times New Roman" w:cs="Times New Roman" w:hAnsi="Times New Roman"/>
          <w:b/>
          <w:bCs/>
          <w:i/>
          <w:iCs/>
          <w:vertAlign w:val="superscript"/>
        </w:rPr>
        <w:t>2</w:t>
      </w:r>
      <w:r>
        <w:rPr>
          <w:rFonts w:ascii="Times New Roman" w:cs="Times New Roman" w:hAnsi="Times New Roman"/>
          <w:b/>
          <w:bCs/>
          <w:i/>
          <w:iCs/>
        </w:rPr>
        <w:t xml:space="preserve">Department of </w:t>
      </w:r>
      <w:r>
        <w:rPr>
          <w:rFonts w:ascii="Times New Roman" w:cs="Times New Roman" w:hAnsi="Times New Roman"/>
          <w:b/>
          <w:bCs/>
          <w:i/>
          <w:iCs/>
        </w:rPr>
        <w:t>Computer Science</w:t>
      </w:r>
      <w:r>
        <w:rPr>
          <w:rFonts w:ascii="Times New Roman" w:cs="Times New Roman" w:hAnsi="Times New Roman"/>
          <w:b/>
          <w:bCs/>
          <w:i/>
          <w:iCs/>
        </w:rPr>
        <w:t xml:space="preserve">, Federal Polytechnic </w:t>
      </w:r>
      <w:r>
        <w:rPr>
          <w:rFonts w:ascii="Times New Roman" w:cs="Times New Roman" w:hAnsi="Times New Roman"/>
          <w:b/>
          <w:bCs/>
          <w:i/>
          <w:iCs/>
        </w:rPr>
        <w:t>Ukana</w:t>
      </w:r>
    </w:p>
    <w:p>
      <w:pPr>
        <w:pStyle w:val="style0"/>
        <w:rPr>
          <w:rFonts w:ascii="Times New Roman" w:cs="Times New Roman" w:hAnsi="Times New Roman"/>
          <w:b/>
          <w:bCs/>
        </w:rPr>
      </w:pPr>
    </w:p>
    <w:p>
      <w:pPr>
        <w:pStyle w:val="style0"/>
        <w:spacing w:after="0"/>
        <w:rPr>
          <w:rFonts w:ascii="Times New Roman" w:cs="Times New Roman" w:hAnsi="Times New Roman"/>
          <w:b/>
          <w:bCs/>
        </w:rPr>
      </w:pPr>
      <w:r>
        <w:rPr>
          <w:rFonts w:ascii="Times New Roman" w:cs="Times New Roman" w:hAnsi="Times New Roman"/>
          <w:b/>
          <w:bCs/>
        </w:rPr>
        <w:t>Abstract</w:t>
      </w:r>
    </w:p>
    <w:p>
      <w:pPr>
        <w:pStyle w:val="style0"/>
        <w:spacing w:after="0"/>
        <w:jc w:val="both"/>
        <w:rPr>
          <w:rFonts w:ascii="Times New Roman" w:cs="Times New Roman" w:hAnsi="Times New Roman"/>
        </w:rPr>
      </w:pPr>
      <w:r>
        <w:rPr>
          <w:rFonts w:ascii="Times New Roman" w:cs="Times New Roman" w:hAnsi="Times New Roman"/>
        </w:rPr>
        <w:t xml:space="preserve">The structural longevity of global transportation networks is severely challenged by heavy operational loads and deferred maintenance, leaving failure-critical components like bridge gusset plates vulnerable to sudden collapse. Traditional Structural Health Monitoring (SHM) paradigms rely on manual inspections or threshold-based sensor alerts, which are reactive, </w:t>
      </w:r>
      <w:r>
        <w:rPr>
          <w:rFonts w:ascii="Times New Roman" w:cs="Times New Roman" w:hAnsi="Times New Roman"/>
        </w:rPr>
        <w:t>lab</w:t>
      </w:r>
      <w:r>
        <w:rPr>
          <w:rFonts w:ascii="Times New Roman" w:cs="Times New Roman" w:hAnsi="Times New Roman"/>
        </w:rPr>
        <w:t>our</w:t>
      </w:r>
      <w:r>
        <w:rPr>
          <w:rFonts w:ascii="Times New Roman" w:cs="Times New Roman" w:hAnsi="Times New Roman"/>
        </w:rPr>
        <w:t>-intensive, and prone to high false-alarm rates from ambient environmental and traffic noise. To transition from reactive maintenance to proactive risk management, this study introduces an intelligent analytic framework designed for structural risk classification. Utilizing a robust multi-sensor dataset consisting of localized micro-strain, acoustic emissions, and triaxial accelerations from an operational steel truss bridge, raw data streams were processed into multi-dimensional feature vectors.</w:t>
      </w:r>
      <w:r>
        <w:rPr>
          <w:rFonts w:ascii="Times New Roman" w:cs="Times New Roman" w:hAnsi="Times New Roman"/>
        </w:rPr>
        <w:t xml:space="preserve"> </w:t>
      </w:r>
      <w:r>
        <w:rPr>
          <w:rFonts w:ascii="Times New Roman" w:cs="Times New Roman" w:hAnsi="Times New Roman"/>
        </w:rPr>
        <w:t>In a departure from typical hybrid architectures, this framework employs a parallel implementation strategy to conduct a direct, head-to-head comparative analysis between two foundational supervised machine learning paradigms: Random Forest (RF) as an ensemble-based decision-tree model, and Support Vector Machines (SVM) using a Radial Basis Function (RBF) kernel. The models classify bridge connection health into discrete binary states: Structurally Sound (Class 0) or Critical/Failure-Prone (Class 1).</w:t>
      </w:r>
      <w:r>
        <w:rPr>
          <w:rFonts w:ascii="Times New Roman" w:cs="Times New Roman" w:hAnsi="Times New Roman"/>
        </w:rPr>
        <w:t xml:space="preserve"> </w:t>
      </w:r>
      <w:r>
        <w:rPr>
          <w:rFonts w:ascii="Times New Roman" w:cs="Times New Roman" w:hAnsi="Times New Roman"/>
        </w:rPr>
        <w:t>Empirical results from an unseen 30% testing dataset demonstrate that the Random Forest model outperforms the Support Vector Machine in global classification accuracy, achieving 94.6% compared to the SVM's 91.8%. Critically for infrastructure safety, the RF framework achieved a superior recall (sensitivity) of 96.1%, outstripping the SVM by 6.9% and minimizing dangerous false-negative outcomes where structural faults might otherwise be missed. Receiver Operating Characteristic (ROC) analysis confirmed the robust threshold stability of the ensemble method under dynamic field noise, yielding an Area Under the Curve (AUC) of 0.972 against the SVM's 0.938.</w:t>
      </w:r>
      <w:r>
        <w:rPr>
          <w:rFonts w:ascii="Times New Roman" w:cs="Times New Roman" w:hAnsi="Times New Roman"/>
        </w:rPr>
        <w:t xml:space="preserve"> </w:t>
      </w:r>
      <w:r>
        <w:rPr>
          <w:rFonts w:ascii="Times New Roman" w:cs="Times New Roman" w:hAnsi="Times New Roman"/>
        </w:rPr>
        <w:t>The analytical boundaries indicate that localized feature partitioning via bootstrap aggregation handles chaotic, multi-variable noise profiles more effectively than global maximum-margin hyperplanes. This parallel framework provides actionable, scalable insights for municipal asset managers seeking to deploy automated early warning systems, optimize maintenance resource allocation, and protect aging civil infrastructure from progressive collapse.</w:t>
      </w:r>
    </w:p>
    <w:p>
      <w:pPr>
        <w:pStyle w:val="style0"/>
        <w:rPr>
          <w:rFonts w:ascii="Times New Roman" w:cs="Times New Roman" w:hAnsi="Times New Roman"/>
          <w:b/>
          <w:bCs/>
        </w:rPr>
      </w:pPr>
    </w:p>
    <w:p>
      <w:pPr>
        <w:pStyle w:val="style0"/>
        <w:spacing w:after="0"/>
        <w:jc w:val="both"/>
        <w:rPr>
          <w:rFonts w:ascii="Times New Roman" w:cs="Times New Roman" w:hAnsi="Times New Roman"/>
        </w:rPr>
      </w:pPr>
      <w:r>
        <w:rPr>
          <w:rFonts w:ascii="Times New Roman" w:cs="Times New Roman" w:hAnsi="Times New Roman"/>
          <w:b/>
          <w:bCs/>
        </w:rPr>
        <w:t>Keywords</w:t>
      </w:r>
      <w:r>
        <w:rPr>
          <w:rFonts w:ascii="Times New Roman" w:cs="Times New Roman" w:hAnsi="Times New Roman"/>
          <w:b/>
          <w:bCs/>
        </w:rPr>
        <w:t xml:space="preserve">: </w:t>
      </w:r>
      <w:r>
        <w:rPr>
          <w:rFonts w:ascii="Times New Roman" w:cs="Times New Roman" w:hAnsi="Times New Roman"/>
        </w:rPr>
        <w:t xml:space="preserve">Structural Health Monitoring (SHM), Intelligent Analytic Framework, Binary </w:t>
      </w:r>
    </w:p>
    <w:p>
      <w:pPr>
        <w:pStyle w:val="style0"/>
        <w:spacing w:after="0"/>
        <w:ind w:left="1160"/>
        <w:jc w:val="both"/>
        <w:rPr>
          <w:rFonts w:ascii="Times New Roman" w:cs="Times New Roman" w:hAnsi="Times New Roman"/>
        </w:rPr>
      </w:pPr>
      <w:r>
        <w:rPr>
          <w:rFonts w:ascii="Times New Roman" w:cs="Times New Roman" w:hAnsi="Times New Roman"/>
        </w:rPr>
        <w:t>Classification, Random Forest (RF), Support Vector Machines (SVM), Bridge Gusset Plates, Multi-Sensor Data Fusion, Predictive Infrastructure Safety</w:t>
      </w:r>
    </w:p>
    <w:p>
      <w:pPr>
        <w:pStyle w:val="style0"/>
        <w:jc w:val="both"/>
        <w:rPr>
          <w:rFonts w:ascii="Times New Roman" w:cs="Times New Roman" w:hAnsi="Times New Roman"/>
        </w:rPr>
      </w:pPr>
    </w:p>
    <w:p>
      <w:pPr>
        <w:pStyle w:val="style0"/>
        <w:spacing w:after="0"/>
        <w:jc w:val="both"/>
        <w:rPr>
          <w:rFonts w:ascii="Times New Roman" w:cs="Times New Roman" w:hAnsi="Times New Roman"/>
          <w:b/>
          <w:bCs/>
        </w:rPr>
      </w:pPr>
      <w:r>
        <w:rPr>
          <w:rFonts w:ascii="Times New Roman" w:cs="Times New Roman" w:hAnsi="Times New Roman"/>
          <w:b/>
          <w:bCs/>
        </w:rPr>
        <w:t>1. Introduction</w:t>
      </w:r>
    </w:p>
    <w:p>
      <w:pPr>
        <w:pStyle w:val="style0"/>
        <w:spacing w:after="0" w:lineRule="auto" w:line="360"/>
        <w:ind w:firstLine="720"/>
        <w:jc w:val="both"/>
        <w:rPr>
          <w:rFonts w:ascii="Times New Roman" w:cs="Times New Roman" w:hAnsi="Times New Roman"/>
        </w:rPr>
      </w:pPr>
      <w:r>
        <w:rPr>
          <w:rFonts w:ascii="Times New Roman" w:cs="Times New Roman" w:hAnsi="Times New Roman"/>
        </w:rPr>
        <w:t>Civil infrastructure across the globe is facing an unprecedented crisis of longevity. Decades of heavy operational loads, environmental degradation, and deferred maintenance have pushed vital transportation networks</w:t>
      </w:r>
      <w:r>
        <w:rPr>
          <w:rFonts w:ascii="Times New Roman" w:cs="Times New Roman" w:hAnsi="Times New Roman"/>
        </w:rPr>
        <w:t xml:space="preserve">, </w:t>
      </w:r>
      <w:r>
        <w:rPr>
          <w:rFonts w:ascii="Times New Roman" w:cs="Times New Roman" w:hAnsi="Times New Roman"/>
        </w:rPr>
        <w:t>particularly steel truss bridges</w:t>
      </w:r>
      <w:r>
        <w:rPr>
          <w:rFonts w:ascii="Times New Roman" w:cs="Times New Roman" w:hAnsi="Times New Roman"/>
        </w:rPr>
        <w:t xml:space="preserve"> </w:t>
      </w:r>
      <w:r>
        <w:rPr>
          <w:rFonts w:ascii="Times New Roman" w:cs="Times New Roman" w:hAnsi="Times New Roman"/>
        </w:rPr>
        <w:t>to their structural limits (</w:t>
      </w:r>
      <w:r>
        <w:rPr>
          <w:rFonts w:ascii="Times New Roman" w:cs="Times New Roman" w:hAnsi="Times New Roman"/>
        </w:rPr>
        <w:t>Catbas</w:t>
      </w:r>
      <w:r>
        <w:rPr>
          <w:rFonts w:ascii="Times New Roman" w:cs="Times New Roman" w:hAnsi="Times New Roman"/>
        </w:rPr>
        <w:t xml:space="preserve"> et al., 2008). Within these systems, gusset plates serve as critical nodes, joining massive structural members and transferring immense tensile and compressive forces. The catastrophic collapse of the I-35W </w:t>
      </w:r>
      <w:r>
        <w:rPr>
          <w:rFonts w:ascii="Times New Roman" w:cs="Times New Roman" w:hAnsi="Times New Roman"/>
        </w:rPr>
        <w:t>Mississippi River bridge in 2007 served as a grim reminder to the structural engineering community that the failure of a single gusset plate can trigger an instantaneous, catastrophic progressive collapse of an entire network (National Transportation Safety Board [NTSB], 2008).</w:t>
      </w:r>
    </w:p>
    <w:p>
      <w:pPr>
        <w:pStyle w:val="style0"/>
        <w:spacing w:after="0" w:lineRule="auto" w:line="360"/>
        <w:ind w:firstLine="720"/>
        <w:jc w:val="both"/>
        <w:rPr>
          <w:rFonts w:ascii="Times New Roman" w:cs="Times New Roman" w:hAnsi="Times New Roman"/>
        </w:rPr>
      </w:pPr>
      <w:r>
        <w:rPr>
          <w:rFonts w:ascii="Times New Roman" w:cs="Times New Roman" w:hAnsi="Times New Roman"/>
        </w:rPr>
        <w:t xml:space="preserve">Traditional Structural Health Monitoring (SHM) paradigms have relied heavily on scheduled manual visual inspections or simple, threshold-based sensor alerts (Farrar </w:t>
      </w:r>
      <w:r>
        <w:rPr>
          <w:rFonts w:ascii="Times New Roman" w:cs="Times New Roman" w:hAnsi="Times New Roman"/>
        </w:rPr>
        <w:t>and</w:t>
      </w:r>
      <w:r>
        <w:rPr>
          <w:rFonts w:ascii="Times New Roman" w:cs="Times New Roman" w:hAnsi="Times New Roman"/>
        </w:rPr>
        <w:t xml:space="preserve"> Worden, 2012). While manual inspections are invaluable, they are fundamentally reactive, </w:t>
      </w:r>
      <w:r>
        <w:rPr>
          <w:rFonts w:ascii="Times New Roman" w:cs="Times New Roman" w:hAnsi="Times New Roman"/>
        </w:rPr>
        <w:t>labour-intensive</w:t>
      </w:r>
      <w:r>
        <w:rPr>
          <w:rFonts w:ascii="Times New Roman" w:cs="Times New Roman" w:hAnsi="Times New Roman"/>
        </w:rPr>
        <w:t>, and prone to human subjectivity. Furthermore, internal micro-deformations, fatigue cracks, and subsurface corrosion within thick steel joints often remain invisible to the naked eye until structural integrity is severely compromised (Brownjohn, 2007). On the other hand, traditional sensor networks that trigger alarms based on a single parameter crossing a hard threshold frequently suffer from high false-alarm rates due to ambient environmental noise, temperature fluctuations, and transient traffic loads (Sohn, 2007). Consequently, there is an urgent need to shift from reactive maintenance to proactive, predictive risk management.</w:t>
      </w:r>
    </w:p>
    <w:p>
      <w:pPr>
        <w:pStyle w:val="style0"/>
        <w:spacing w:after="0" w:lineRule="auto" w:line="360"/>
        <w:ind w:firstLine="720"/>
        <w:jc w:val="both"/>
        <w:rPr>
          <w:rFonts w:ascii="Times New Roman" w:cs="Times New Roman" w:hAnsi="Times New Roman"/>
        </w:rPr>
      </w:pPr>
      <w:r>
        <w:rPr>
          <w:rFonts w:ascii="Times New Roman" w:cs="Times New Roman" w:hAnsi="Times New Roman"/>
        </w:rPr>
        <w:t>Recent advancements at the intersection of civil engineering and data science offer a promising path forward. The integration of high-density sensor arrays</w:t>
      </w:r>
      <w:r>
        <w:rPr>
          <w:rFonts w:ascii="Times New Roman" w:cs="Times New Roman" w:hAnsi="Times New Roman"/>
        </w:rPr>
        <w:t xml:space="preserve"> </w:t>
      </w:r>
      <w:r>
        <w:rPr>
          <w:rFonts w:ascii="Times New Roman" w:cs="Times New Roman" w:hAnsi="Times New Roman"/>
        </w:rPr>
        <w:t>such as strain gauges, acoustic emission sensors, and accelerometers</w:t>
      </w:r>
      <w:r>
        <w:rPr>
          <w:rFonts w:ascii="Times New Roman" w:cs="Times New Roman" w:hAnsi="Times New Roman"/>
        </w:rPr>
        <w:t xml:space="preserve"> </w:t>
      </w:r>
      <w:r>
        <w:rPr>
          <w:rFonts w:ascii="Times New Roman" w:cs="Times New Roman" w:hAnsi="Times New Roman"/>
        </w:rPr>
        <w:t xml:space="preserve">has generated vast repositories of continuous structural data (Yan et al., 2007). However, the sheer volume, velocity, and non-linear complexity of these streams overwhelm traditional empirical calculations. To bridge this gap, modern researchers have increasingly turned to machine learning (ML) as a core engine for intelligent asset management (Worden </w:t>
      </w:r>
      <w:r>
        <w:rPr>
          <w:rFonts w:ascii="Times New Roman" w:cs="Times New Roman" w:hAnsi="Times New Roman"/>
        </w:rPr>
        <w:t>and</w:t>
      </w:r>
      <w:r>
        <w:rPr>
          <w:rFonts w:ascii="Times New Roman" w:cs="Times New Roman" w:hAnsi="Times New Roman"/>
        </w:rPr>
        <w:t xml:space="preserve"> Farrar, 2007). By treating structural risk assessment as a binary classification problem, intelligent analytical frameworks can synthesize multi-dimensional data streams to distinguish between a stable asset and one at imminent risk (Naser, 2022).</w:t>
      </w:r>
    </w:p>
    <w:p>
      <w:pPr>
        <w:pStyle w:val="style0"/>
        <w:spacing w:after="0" w:lineRule="auto" w:line="360"/>
        <w:ind w:firstLine="720"/>
        <w:jc w:val="both"/>
        <w:rPr>
          <w:rFonts w:ascii="Times New Roman" w:cs="Times New Roman" w:hAnsi="Times New Roman"/>
        </w:rPr>
      </w:pPr>
      <w:r>
        <w:rPr>
          <w:rFonts w:ascii="Times New Roman" w:cs="Times New Roman" w:hAnsi="Times New Roman"/>
        </w:rPr>
        <w:t>While existing literature demonstrates the viability of individual machine learning models in damage detection, significant knowledge gaps remain. Many current frameworks are highly sensitive to sensor noise, require ideal laboratory conditions, or struggle to balance computational efficiency with classification accuracy (Yin et al., 2019). Specifically, there is a lack of comprehensive comparative studies evaluating how different foundational algorithmic structures</w:t>
      </w:r>
      <w:r>
        <w:rPr>
          <w:rFonts w:ascii="Times New Roman" w:cs="Times New Roman" w:hAnsi="Times New Roman"/>
        </w:rPr>
        <w:t xml:space="preserve"> </w:t>
      </w:r>
      <w:r>
        <w:rPr>
          <w:rFonts w:ascii="Times New Roman" w:cs="Times New Roman" w:hAnsi="Times New Roman"/>
        </w:rPr>
        <w:t>such as decision-tree architectures versus kernel-based classifiers</w:t>
      </w:r>
      <w:r>
        <w:rPr>
          <w:rFonts w:ascii="Times New Roman" w:cs="Times New Roman" w:hAnsi="Times New Roman"/>
        </w:rPr>
        <w:t xml:space="preserve"> </w:t>
      </w:r>
      <w:r>
        <w:rPr>
          <w:rFonts w:ascii="Times New Roman" w:cs="Times New Roman" w:hAnsi="Times New Roman"/>
        </w:rPr>
        <w:t xml:space="preserve">perform when subjected to the noisy, chaotic real-world data typical of operational highway bridges (Feng </w:t>
      </w:r>
      <w:r>
        <w:rPr>
          <w:rFonts w:ascii="Times New Roman" w:cs="Times New Roman" w:hAnsi="Times New Roman"/>
        </w:rPr>
        <w:t>and</w:t>
      </w:r>
      <w:r>
        <w:rPr>
          <w:rFonts w:ascii="Times New Roman" w:cs="Times New Roman" w:hAnsi="Times New Roman"/>
        </w:rPr>
        <w:t xml:space="preserve"> </w:t>
      </w:r>
      <w:r>
        <w:rPr>
          <w:rFonts w:ascii="Times New Roman" w:cs="Times New Roman" w:hAnsi="Times New Roman"/>
        </w:rPr>
        <w:t>Catbas</w:t>
      </w:r>
      <w:r>
        <w:rPr>
          <w:rFonts w:ascii="Times New Roman" w:cs="Times New Roman" w:hAnsi="Times New Roman"/>
        </w:rPr>
        <w:t>, 2020).</w:t>
      </w:r>
    </w:p>
    <w:p>
      <w:pPr>
        <w:pStyle w:val="style0"/>
        <w:spacing w:after="0" w:lineRule="auto" w:line="360"/>
        <w:ind w:firstLine="720"/>
        <w:jc w:val="both"/>
        <w:rPr>
          <w:rFonts w:ascii="Times New Roman" w:cs="Times New Roman" w:hAnsi="Times New Roman"/>
        </w:rPr>
      </w:pPr>
      <w:r>
        <w:rPr>
          <w:rFonts w:ascii="Times New Roman" w:cs="Times New Roman" w:hAnsi="Times New Roman"/>
        </w:rPr>
        <w:t>To address these limitations, this study introduces an intelligent analytic framework designed for real-time structural risk classification. Utilizing a robust dataset of multi-sensor structural metrics, we deploy and evaluate two distinct machine learning paradigms</w:t>
      </w:r>
      <w:r>
        <w:rPr>
          <w:rFonts w:ascii="Times New Roman" w:cs="Times New Roman" w:hAnsi="Times New Roman"/>
        </w:rPr>
        <w:t xml:space="preserve">, </w:t>
      </w:r>
      <w:r>
        <w:rPr>
          <w:rFonts w:ascii="Times New Roman" w:cs="Times New Roman" w:hAnsi="Times New Roman"/>
        </w:rPr>
        <w:t>RF and SVM</w:t>
      </w:r>
      <w:r>
        <w:rPr>
          <w:rFonts w:ascii="Times New Roman" w:cs="Times New Roman" w:hAnsi="Times New Roman"/>
        </w:rPr>
        <w:t xml:space="preserve"> </w:t>
      </w:r>
      <w:r>
        <w:rPr>
          <w:rFonts w:ascii="Times New Roman" w:cs="Times New Roman" w:hAnsi="Times New Roman"/>
        </w:rPr>
        <w:t xml:space="preserve">to classify bridge gusset plate health into binary states: Structurally Sound (Class 0) or Critical/Failure-Prone (Class 1). The primary objective of this research is to establish a highly reliable, automated screening framework capable of filtering out environmental noise and identifying structural anomalies before they manifest as physical failures. By offering a direct, parallel comparative analysis of these two algorithmic </w:t>
      </w:r>
      <w:r>
        <w:rPr>
          <w:rFonts w:ascii="Times New Roman" w:cs="Times New Roman" w:hAnsi="Times New Roman"/>
        </w:rPr>
        <w:t>approaches, this paper provides actionable insights for</w:t>
      </w:r>
      <w:r>
        <w:rPr>
          <w:rFonts w:ascii="Times New Roman" w:cs="Times New Roman" w:hAnsi="Times New Roman"/>
        </w:rPr>
        <w:t xml:space="preserve"> </w:t>
      </w:r>
      <w:r>
        <w:rPr>
          <w:rFonts w:ascii="Times New Roman" w:cs="Times New Roman" w:hAnsi="Times New Roman"/>
        </w:rPr>
        <w:t>engineers and asset managers seeking to deploy scalable, data-driven early warning systems for aging infrastructure.</w:t>
      </w:r>
    </w:p>
    <w:p>
      <w:pPr>
        <w:pStyle w:val="style0"/>
        <w:spacing w:after="0" w:lineRule="auto" w:line="360"/>
        <w:ind w:firstLine="720"/>
        <w:jc w:val="both"/>
        <w:rPr>
          <w:rFonts w:ascii="Times New Roman" w:cs="Times New Roman" w:hAnsi="Times New Roman"/>
        </w:rPr>
      </w:pPr>
    </w:p>
    <w:p>
      <w:pPr>
        <w:pStyle w:val="style0"/>
        <w:spacing w:after="0" w:lineRule="auto" w:line="360"/>
        <w:jc w:val="both"/>
        <w:rPr>
          <w:rFonts w:ascii="Times New Roman" w:cs="Times New Roman" w:hAnsi="Times New Roman"/>
          <w:b/>
          <w:bCs/>
        </w:rPr>
      </w:pPr>
      <w:r>
        <w:rPr>
          <w:rFonts w:ascii="Times New Roman" w:cs="Times New Roman" w:hAnsi="Times New Roman"/>
          <w:b/>
          <w:bCs/>
        </w:rPr>
        <w:t>2. Literature Review</w:t>
      </w:r>
    </w:p>
    <w:p>
      <w:pPr>
        <w:pStyle w:val="style0"/>
        <w:spacing w:after="0" w:lineRule="auto" w:line="360"/>
        <w:ind w:firstLine="720"/>
        <w:jc w:val="both"/>
        <w:rPr>
          <w:rFonts w:ascii="Times New Roman" w:cs="Times New Roman" w:hAnsi="Times New Roman"/>
        </w:rPr>
      </w:pPr>
      <w:r>
        <w:rPr>
          <w:rFonts w:ascii="Times New Roman" w:cs="Times New Roman" w:hAnsi="Times New Roman"/>
        </w:rPr>
        <w:t>This section reviews the works of other researchers</w:t>
      </w:r>
    </w:p>
    <w:p>
      <w:pPr>
        <w:pStyle w:val="style0"/>
        <w:spacing w:after="0" w:lineRule="auto" w:line="360"/>
        <w:jc w:val="both"/>
        <w:rPr>
          <w:rFonts w:ascii="Times New Roman" w:cs="Times New Roman" w:hAnsi="Times New Roman"/>
        </w:rPr>
      </w:pPr>
    </w:p>
    <w:p>
      <w:pPr>
        <w:pStyle w:val="style0"/>
        <w:spacing w:after="0" w:lineRule="auto" w:line="360"/>
        <w:jc w:val="both"/>
        <w:rPr>
          <w:rFonts w:ascii="Times New Roman" w:cs="Times New Roman" w:hAnsi="Times New Roman"/>
          <w:b/>
          <w:bCs/>
        </w:rPr>
      </w:pPr>
      <w:r>
        <w:rPr>
          <w:rFonts w:ascii="Times New Roman" w:cs="Times New Roman" w:hAnsi="Times New Roman"/>
          <w:b/>
          <w:bCs/>
        </w:rPr>
        <w:t>2.1 Foundations of Structural Health Monitoring in Bridge Management</w:t>
      </w:r>
    </w:p>
    <w:p>
      <w:pPr>
        <w:pStyle w:val="style0"/>
        <w:spacing w:after="0" w:lineRule="auto" w:line="360"/>
        <w:ind w:firstLine="720"/>
        <w:jc w:val="both"/>
        <w:rPr>
          <w:rFonts w:ascii="Times New Roman" w:cs="Times New Roman" w:hAnsi="Times New Roman"/>
        </w:rPr>
      </w:pPr>
      <w:r>
        <w:rPr>
          <w:rFonts w:ascii="Times New Roman" w:cs="Times New Roman" w:hAnsi="Times New Roman"/>
        </w:rPr>
        <w:t xml:space="preserve">The baseline paradigms governing the preservation of major civil infrastructure heavily emphasize the necessity of continuous or semi-continuous structural observation. Historically, Structural Health Monitoring (SHM) has been defined as the continuous, automated process of implementing damage identification strategies across critical architectural systems to verify ongoing structural integrity (Farrar </w:t>
      </w:r>
      <w:r>
        <w:rPr>
          <w:rFonts w:ascii="Times New Roman" w:cs="Times New Roman" w:hAnsi="Times New Roman"/>
        </w:rPr>
        <w:t>and</w:t>
      </w:r>
      <w:r>
        <w:rPr>
          <w:rFonts w:ascii="Times New Roman" w:cs="Times New Roman" w:hAnsi="Times New Roman"/>
        </w:rPr>
        <w:t xml:space="preserve"> Worden, 2012). For massive transportation infrastructures, particularly steel truss configurations, structural deterioration under complex environmental conditions presents localized mechanics-based risks that traditional visual assessments regularly fail to isolate (Brownjohn, 2007; </w:t>
      </w:r>
      <w:r>
        <w:rPr>
          <w:rFonts w:ascii="Times New Roman" w:cs="Times New Roman" w:hAnsi="Times New Roman"/>
        </w:rPr>
        <w:t>Fitriyah</w:t>
      </w:r>
      <w:r>
        <w:rPr>
          <w:rFonts w:ascii="Times New Roman" w:cs="Times New Roman" w:hAnsi="Times New Roman"/>
        </w:rPr>
        <w:t xml:space="preserve"> et al., 2023).</w:t>
      </w:r>
    </w:p>
    <w:p>
      <w:pPr>
        <w:pStyle w:val="style0"/>
        <w:spacing w:after="0" w:lineRule="auto" w:line="360"/>
        <w:ind w:firstLine="720"/>
        <w:jc w:val="both"/>
        <w:rPr>
          <w:rFonts w:ascii="Times New Roman" w:cs="Times New Roman" w:hAnsi="Times New Roman"/>
        </w:rPr>
      </w:pPr>
      <w:r>
        <w:rPr>
          <w:rFonts w:ascii="Times New Roman" w:cs="Times New Roman" w:hAnsi="Times New Roman"/>
        </w:rPr>
        <w:t>Among these structural vulnerabilities, bridge connections and gusset plates represent the primary failure-critical components due to the intense load transfers focused directly on these joints (Higgins, 2011). Early engineering literature attempted to handle structural verification through analytical model-driven methodologies, relying heavily on localized parameter modifications via physics-based structural tuning and finite element model updates (Svendsen et al., 2021). However, historical failures have proved that manual instrumentation, simple localized stress boundaries, and traditional threshold-based alerts suffer from severe operational limitations. Traditional frameworks are fundamentally limited by excessive false-alarm distributions stemming from ambient thermal fluctuations and transient vehicular loading environments (Sohn, 2007).</w:t>
      </w:r>
    </w:p>
    <w:p>
      <w:pPr>
        <w:pStyle w:val="style0"/>
        <w:spacing w:after="0" w:lineRule="auto" w:line="360"/>
        <w:ind w:firstLine="720"/>
        <w:jc w:val="both"/>
        <w:rPr>
          <w:rFonts w:ascii="Times New Roman" w:cs="Times New Roman" w:hAnsi="Times New Roman"/>
        </w:rPr>
      </w:pPr>
    </w:p>
    <w:p>
      <w:pPr>
        <w:pStyle w:val="style0"/>
        <w:spacing w:after="0" w:lineRule="auto" w:line="360"/>
        <w:jc w:val="both"/>
        <w:rPr>
          <w:rFonts w:ascii="Times New Roman" w:cs="Times New Roman" w:hAnsi="Times New Roman"/>
          <w:b/>
          <w:bCs/>
        </w:rPr>
      </w:pPr>
      <w:r>
        <w:rPr>
          <w:rFonts w:ascii="Times New Roman" w:cs="Times New Roman" w:hAnsi="Times New Roman"/>
          <w:b/>
          <w:bCs/>
        </w:rPr>
        <w:t>2.2 Shift Toward Data-Driven Analytics and Deep Learning</w:t>
      </w:r>
    </w:p>
    <w:p>
      <w:pPr>
        <w:pStyle w:val="style0"/>
        <w:spacing w:after="0" w:lineRule="auto" w:line="360"/>
        <w:ind w:firstLine="720"/>
        <w:jc w:val="both"/>
        <w:rPr>
          <w:rFonts w:ascii="Times New Roman" w:cs="Times New Roman" w:hAnsi="Times New Roman"/>
        </w:rPr>
      </w:pPr>
      <w:r>
        <w:rPr>
          <w:rFonts w:ascii="Times New Roman" w:cs="Times New Roman" w:hAnsi="Times New Roman"/>
        </w:rPr>
        <w:t>To counteract the rigidity of empirical calculations, modern asset management workflows have shifted focus toward intelligent, data-driven frameworks powered by multi-sensor deployments (Azimi et al., 2020). The integration of dense data acquisition units</w:t>
      </w:r>
      <w:r>
        <w:rPr>
          <w:rFonts w:ascii="Times New Roman" w:cs="Times New Roman" w:hAnsi="Times New Roman"/>
        </w:rPr>
        <w:t xml:space="preserve"> </w:t>
      </w:r>
      <w:r>
        <w:rPr>
          <w:rFonts w:ascii="Times New Roman" w:cs="Times New Roman" w:hAnsi="Times New Roman"/>
        </w:rPr>
        <w:t>such as localized strain gauges, piezoelectric accelerometers, and acoustic emission receivers</w:t>
      </w:r>
      <w:r>
        <w:rPr>
          <w:rFonts w:ascii="Times New Roman" w:cs="Times New Roman" w:hAnsi="Times New Roman"/>
        </w:rPr>
        <w:t xml:space="preserve"> </w:t>
      </w:r>
      <w:r>
        <w:rPr>
          <w:rFonts w:ascii="Times New Roman" w:cs="Times New Roman" w:hAnsi="Times New Roman"/>
        </w:rPr>
        <w:t xml:space="preserve">allows structures to emit highly descriptive streams of raw data (Yan et al., 2007). Because deep learning (DL) algorithms excel at extracting structural feature representations from high-velocity data, researchers have successfully applied structural pattern recognition models to isolate geometric wear and internal cracking trends without prior manual calibrations (Azimi et al., 2020). </w:t>
      </w:r>
    </w:p>
    <w:p>
      <w:pPr>
        <w:pStyle w:val="style0"/>
        <w:spacing w:after="0" w:lineRule="auto" w:line="360"/>
        <w:ind w:firstLine="720"/>
        <w:jc w:val="both"/>
        <w:rPr>
          <w:rFonts w:ascii="Times New Roman" w:cs="Times New Roman" w:hAnsi="Times New Roman"/>
        </w:rPr>
      </w:pPr>
      <w:r>
        <w:rPr>
          <w:rFonts w:ascii="Times New Roman" w:cs="Times New Roman" w:hAnsi="Times New Roman"/>
        </w:rPr>
        <w:t xml:space="preserve">Recent implementations leverage advanced deep network variations, including variational autoencoders and long short-term memory (LSTM) neural blocks, to process compressed response signals from isolated connection plates, minimizing false predictions caused by measurement noise (Li, </w:t>
      </w:r>
      <w:r>
        <w:rPr>
          <w:rFonts w:ascii="Times New Roman" w:cs="Times New Roman" w:hAnsi="Times New Roman"/>
        </w:rPr>
        <w:t>2022). Despite the highly sophisticated nature of deep network variations, deep architectures introduce noticeable drawbacks for daily public infrastructure deployment. They operate largely as black boxes with excessive computational costs, rendering them complex to deploy on micro-processing units used for real-time edge computing on remote bridges. This challenge has directed attention back toward foundational, statistically interpretable machine learning approaches.</w:t>
      </w:r>
    </w:p>
    <w:p>
      <w:pPr>
        <w:pStyle w:val="style0"/>
        <w:spacing w:after="0"/>
        <w:ind w:firstLine="720"/>
        <w:jc w:val="both"/>
        <w:rPr>
          <w:rFonts w:ascii="Times New Roman" w:cs="Times New Roman" w:hAnsi="Times New Roman"/>
        </w:rPr>
      </w:pPr>
    </w:p>
    <w:p>
      <w:pPr>
        <w:pStyle w:val="style0"/>
        <w:spacing w:after="0"/>
        <w:jc w:val="both"/>
        <w:rPr>
          <w:rFonts w:ascii="Times New Roman" w:cs="Times New Roman" w:hAnsi="Times New Roman"/>
          <w:b/>
          <w:bCs/>
        </w:rPr>
      </w:pPr>
      <w:r>
        <w:rPr>
          <w:rFonts w:ascii="Times New Roman" w:cs="Times New Roman" w:hAnsi="Times New Roman"/>
          <w:b/>
          <w:bCs/>
        </w:rPr>
        <w:t>2.3 Machine Learning and Binary Classification Models in SHM</w:t>
      </w:r>
    </w:p>
    <w:p>
      <w:pPr>
        <w:pStyle w:val="style0"/>
        <w:spacing w:after="0" w:lineRule="auto" w:line="360"/>
        <w:ind w:firstLine="720"/>
        <w:jc w:val="both"/>
        <w:rPr>
          <w:rFonts w:ascii="Times New Roman" w:cs="Times New Roman" w:hAnsi="Times New Roman"/>
        </w:rPr>
      </w:pPr>
      <w:r>
        <w:rPr>
          <w:rFonts w:ascii="Times New Roman" w:cs="Times New Roman" w:hAnsi="Times New Roman"/>
        </w:rPr>
        <w:t xml:space="preserve">When structural anomaly tracking is </w:t>
      </w:r>
      <w:r>
        <w:rPr>
          <w:rFonts w:ascii="Times New Roman" w:cs="Times New Roman" w:hAnsi="Times New Roman"/>
        </w:rPr>
        <w:t>modeled</w:t>
      </w:r>
      <w:r>
        <w:rPr>
          <w:rFonts w:ascii="Times New Roman" w:cs="Times New Roman" w:hAnsi="Times New Roman"/>
        </w:rPr>
        <w:t xml:space="preserve"> as a discrete binary decision task, foundational supervised machine learning (ML) models offer highly optimized alternatives to deep networks (Naser, 2022). By categorizing real-time continuous sensor readings into explicit binary outcomes—such as stable operational health versus immediate critical danger</w:t>
      </w:r>
      <w:r>
        <w:rPr>
          <w:rFonts w:ascii="Times New Roman" w:cs="Times New Roman" w:hAnsi="Times New Roman"/>
        </w:rPr>
        <w:t xml:space="preserve"> </w:t>
      </w:r>
      <w:r>
        <w:rPr>
          <w:rFonts w:ascii="Times New Roman" w:cs="Times New Roman" w:hAnsi="Times New Roman"/>
        </w:rPr>
        <w:t>asset administrators can implement definitive maintenance protocols (Soltani et al., 2025). Within this supervised classification space, two primary algorithmic families dominate structural damage prediction studies: decision-tree ensembles and kernel-based machines.</w:t>
      </w:r>
    </w:p>
    <w:p>
      <w:pPr>
        <w:pStyle w:val="style0"/>
        <w:spacing w:after="0" w:lineRule="auto" w:line="360"/>
        <w:ind w:firstLine="720"/>
        <w:jc w:val="both"/>
        <w:rPr>
          <w:rFonts w:ascii="Times New Roman" w:cs="Times New Roman" w:hAnsi="Times New Roman"/>
        </w:rPr>
      </w:pPr>
      <w:r>
        <w:rPr>
          <w:rFonts w:ascii="Times New Roman" w:cs="Times New Roman" w:hAnsi="Times New Roman"/>
        </w:rPr>
        <w:t>Decision-tree variations, specifically the Random Forest (RF) algorithm, are heavily utilized across structural engineering due to their ability to quantify parameter importance across highly complex datasets without extensive preprocessing (</w:t>
      </w:r>
      <w:r>
        <w:rPr>
          <w:rFonts w:ascii="Times New Roman" w:cs="Times New Roman" w:hAnsi="Times New Roman"/>
        </w:rPr>
        <w:t>Sonbul</w:t>
      </w:r>
      <w:r>
        <w:rPr>
          <w:rFonts w:ascii="Times New Roman" w:cs="Times New Roman" w:hAnsi="Times New Roman"/>
        </w:rPr>
        <w:t xml:space="preserve"> </w:t>
      </w:r>
      <w:r>
        <w:rPr>
          <w:rFonts w:ascii="Times New Roman" w:cs="Times New Roman" w:hAnsi="Times New Roman"/>
        </w:rPr>
        <w:t>and</w:t>
      </w:r>
      <w:r>
        <w:rPr>
          <w:rFonts w:ascii="Times New Roman" w:cs="Times New Roman" w:hAnsi="Times New Roman"/>
        </w:rPr>
        <w:t xml:space="preserve"> Rashid, 2023). In broad network analysis, RF models have been effectively deployed to weigh individual bridge component vulnerabilities and map high-risk degradation patterns under complex structural loads (Abiona </w:t>
      </w:r>
      <w:r>
        <w:rPr>
          <w:rFonts w:ascii="Times New Roman" w:cs="Times New Roman" w:hAnsi="Times New Roman"/>
        </w:rPr>
        <w:t>and</w:t>
      </w:r>
      <w:r>
        <w:rPr>
          <w:rFonts w:ascii="Times New Roman" w:cs="Times New Roman" w:hAnsi="Times New Roman"/>
        </w:rPr>
        <w:t xml:space="preserve"> Head, 2025). Furthermore, regression and classification studies on active bridges demonstrate that ensemble models yield robust, responsive metrics of asset capacity, consistently balancing statistical stability with accurate real-time predictions (Islam, 2025). </w:t>
      </w:r>
    </w:p>
    <w:p>
      <w:pPr>
        <w:pStyle w:val="style0"/>
        <w:spacing w:after="0" w:lineRule="auto" w:line="360"/>
        <w:ind w:firstLine="720"/>
        <w:jc w:val="both"/>
        <w:rPr>
          <w:rFonts w:ascii="Times New Roman" w:cs="Times New Roman" w:hAnsi="Times New Roman"/>
        </w:rPr>
      </w:pPr>
      <w:r>
        <w:rPr>
          <w:rFonts w:ascii="Times New Roman" w:cs="Times New Roman" w:hAnsi="Times New Roman"/>
        </w:rPr>
        <w:t>Concurrently, Support Vector Machines (SVM) serve as the primary alternative for high-stakes engineering classification due to their unique mathematical structure. By mapping raw inputs into higher-dimensional vector spaces via specialized kernels</w:t>
      </w:r>
      <w:r>
        <w:rPr>
          <w:rFonts w:ascii="Times New Roman" w:cs="Times New Roman" w:hAnsi="Times New Roman"/>
        </w:rPr>
        <w:t xml:space="preserve"> </w:t>
      </w:r>
      <w:r>
        <w:rPr>
          <w:rFonts w:ascii="Times New Roman" w:cs="Times New Roman" w:hAnsi="Times New Roman"/>
        </w:rPr>
        <w:t>such as the Radial Basis Function (RBF)</w:t>
      </w:r>
      <w:r>
        <w:rPr>
          <w:rFonts w:ascii="Times New Roman" w:cs="Times New Roman" w:hAnsi="Times New Roman"/>
        </w:rPr>
        <w:t xml:space="preserve"> </w:t>
      </w:r>
      <w:r>
        <w:rPr>
          <w:rFonts w:ascii="Times New Roman" w:cs="Times New Roman" w:hAnsi="Times New Roman"/>
        </w:rPr>
        <w:t>SVM</w:t>
      </w:r>
      <w:r>
        <w:rPr>
          <w:rFonts w:ascii="Times New Roman" w:cs="Times New Roman" w:hAnsi="Times New Roman"/>
        </w:rPr>
        <w:t xml:space="preserve"> </w:t>
      </w:r>
      <w:r>
        <w:rPr>
          <w:rFonts w:ascii="Times New Roman" w:cs="Times New Roman" w:hAnsi="Times New Roman"/>
        </w:rPr>
        <w:t xml:space="preserve"> frameworks</w:t>
      </w:r>
      <w:r>
        <w:rPr>
          <w:rFonts w:ascii="Times New Roman" w:cs="Times New Roman" w:hAnsi="Times New Roman"/>
        </w:rPr>
        <w:t xml:space="preserve"> effectively isolate optimal separating hyperplanes for distinct structural </w:t>
      </w:r>
      <w:r>
        <w:rPr>
          <w:rFonts w:ascii="Times New Roman" w:cs="Times New Roman" w:hAnsi="Times New Roman"/>
        </w:rPr>
        <w:t>behaviors</w:t>
      </w:r>
      <w:r>
        <w:rPr>
          <w:rFonts w:ascii="Times New Roman" w:cs="Times New Roman" w:hAnsi="Times New Roman"/>
        </w:rPr>
        <w:t xml:space="preserve"> (</w:t>
      </w:r>
      <w:r>
        <w:rPr>
          <w:rFonts w:ascii="Times New Roman" w:cs="Times New Roman" w:hAnsi="Times New Roman"/>
        </w:rPr>
        <w:t>Doroudi</w:t>
      </w:r>
      <w:r>
        <w:rPr>
          <w:rFonts w:ascii="Times New Roman" w:cs="Times New Roman" w:hAnsi="Times New Roman"/>
        </w:rPr>
        <w:t>, 2026). This mathematical clarity allows SVM architectures to perform remarkably well on smaller, tightly restricted experimental datasets where specific structural fault boundaries must be enforced (</w:t>
      </w:r>
      <w:r>
        <w:rPr>
          <w:rFonts w:ascii="Times New Roman" w:cs="Times New Roman" w:hAnsi="Times New Roman"/>
        </w:rPr>
        <w:t>Doroudi</w:t>
      </w:r>
      <w:r>
        <w:rPr>
          <w:rFonts w:ascii="Times New Roman" w:cs="Times New Roman" w:hAnsi="Times New Roman"/>
        </w:rPr>
        <w:t>, 2026).</w:t>
      </w:r>
    </w:p>
    <w:p>
      <w:pPr>
        <w:pStyle w:val="style0"/>
        <w:spacing w:after="0"/>
        <w:ind w:firstLine="720"/>
        <w:jc w:val="both"/>
        <w:rPr>
          <w:rFonts w:ascii="Times New Roman" w:cs="Times New Roman" w:hAnsi="Times New Roman"/>
        </w:rPr>
      </w:pPr>
    </w:p>
    <w:p>
      <w:pPr>
        <w:pStyle w:val="style0"/>
        <w:jc w:val="both"/>
        <w:rPr>
          <w:rFonts w:ascii="Times New Roman" w:cs="Times New Roman" w:hAnsi="Times New Roman"/>
          <w:b/>
          <w:bCs/>
        </w:rPr>
      </w:pPr>
      <w:r>
        <w:rPr>
          <w:rFonts w:ascii="Times New Roman" w:cs="Times New Roman" w:hAnsi="Times New Roman"/>
          <w:b/>
          <w:bCs/>
        </w:rPr>
        <w:t>2.4 Knowledge Gaps</w:t>
      </w:r>
    </w:p>
    <w:p>
      <w:pPr>
        <w:pStyle w:val="style0"/>
        <w:spacing w:after="0" w:lineRule="auto" w:line="360"/>
        <w:ind w:firstLine="720"/>
        <w:jc w:val="both"/>
        <w:rPr>
          <w:rFonts w:ascii="Times New Roman" w:cs="Times New Roman" w:hAnsi="Times New Roman"/>
        </w:rPr>
      </w:pPr>
      <w:r>
        <w:rPr>
          <w:rFonts w:ascii="Times New Roman" w:cs="Times New Roman" w:hAnsi="Times New Roman"/>
        </w:rPr>
        <w:t>While the reviewed literature highlights the individual strengths of Random Forest and Support Vector Machine applications within civil monitoring systems, a prominent knowledge gap remains. Current research rarely addresses how these two functionally distinct algorithmic frameworks</w:t>
      </w:r>
      <w:r>
        <w:rPr>
          <w:rFonts w:ascii="Times New Roman" w:cs="Times New Roman" w:hAnsi="Times New Roman"/>
        </w:rPr>
        <w:t xml:space="preserve">, </w:t>
      </w:r>
      <w:r>
        <w:rPr>
          <w:rFonts w:ascii="Times New Roman" w:cs="Times New Roman" w:hAnsi="Times New Roman"/>
        </w:rPr>
        <w:t>namely, a bootstrap-aggregated decision-tree structure versus a maximum-margin vector separator</w:t>
      </w:r>
      <w:r>
        <w:rPr>
          <w:rFonts w:ascii="Times New Roman" w:cs="Times New Roman" w:hAnsi="Times New Roman"/>
        </w:rPr>
        <w:t xml:space="preserve"> </w:t>
      </w:r>
      <w:r>
        <w:rPr>
          <w:rFonts w:ascii="Times New Roman" w:cs="Times New Roman" w:hAnsi="Times New Roman"/>
        </w:rPr>
        <w:t>perform when implemented in parallel on identical real-world bridge joint configurations.</w:t>
      </w:r>
    </w:p>
    <w:p>
      <w:pPr>
        <w:pStyle w:val="style0"/>
        <w:spacing w:after="0" w:lineRule="auto" w:line="360"/>
        <w:ind w:firstLine="720"/>
        <w:jc w:val="both"/>
        <w:rPr>
          <w:rFonts w:ascii="Times New Roman" w:cs="Times New Roman" w:hAnsi="Times New Roman"/>
        </w:rPr>
      </w:pPr>
      <w:r>
        <w:rPr>
          <w:rFonts w:ascii="Times New Roman" w:cs="Times New Roman" w:hAnsi="Times New Roman"/>
        </w:rPr>
        <w:t>Most existing literature evaluates model performance under clean, simulated laboratory conditions, glossing over the chaotic, multi-variable noise profiles inherent to real-world highway crossings. Consequently, a distinct methodological deficit exists regarding how well these foundational classifiers balance false-positive rates when dealing with localized structural data from failure-critical joints. This study addresses this exact scientific gap by developing an intelligent analytic framework that provides a direct, parallel comparative study of both methodologies using operational multi-sensor infrastructure datasets.</w:t>
      </w:r>
    </w:p>
    <w:p>
      <w:pPr>
        <w:pStyle w:val="style0"/>
        <w:spacing w:after="0"/>
        <w:jc w:val="both"/>
        <w:rPr>
          <w:rFonts w:ascii="Times New Roman" w:cs="Times New Roman" w:hAnsi="Times New Roman"/>
        </w:rPr>
      </w:pPr>
    </w:p>
    <w:p>
      <w:pPr>
        <w:pStyle w:val="style0"/>
        <w:jc w:val="both"/>
        <w:rPr>
          <w:rFonts w:ascii="Times New Roman" w:cs="Times New Roman" w:hAnsi="Times New Roman"/>
          <w:b/>
          <w:bCs/>
        </w:rPr>
      </w:pPr>
      <w:r>
        <w:rPr>
          <w:rFonts w:ascii="Times New Roman" w:cs="Times New Roman" w:hAnsi="Times New Roman"/>
          <w:b/>
          <w:bCs/>
        </w:rPr>
        <w:t>3. Materials and Methods</w:t>
      </w:r>
    </w:p>
    <w:p>
      <w:pPr>
        <w:pStyle w:val="style0"/>
        <w:spacing w:after="0" w:lineRule="auto" w:line="360"/>
        <w:ind w:firstLine="720"/>
        <w:jc w:val="both"/>
        <w:rPr>
          <w:rFonts w:ascii="Times New Roman" w:cs="Times New Roman" w:hAnsi="Times New Roman"/>
        </w:rPr>
      </w:pPr>
      <w:r>
        <w:rPr>
          <w:rFonts w:ascii="Times New Roman" w:cs="Times New Roman" w:hAnsi="Times New Roman"/>
        </w:rPr>
        <w:t xml:space="preserve">The primary objective of the proposed intelligent analytic framework is to establish an automated, data-driven system capable of classifying bridge gusset plate conditions into distinct binary states: Structurally Sound (Class 0) or Critical/Failure-Prone (Class 1). To achieve this, the methodology relies on a parallel execution structure where raw sensor data is ingested, </w:t>
      </w:r>
      <w:r>
        <w:rPr>
          <w:rFonts w:ascii="Times New Roman" w:cs="Times New Roman" w:hAnsi="Times New Roman"/>
        </w:rPr>
        <w:t>preprocessed</w:t>
      </w:r>
      <w:r>
        <w:rPr>
          <w:rFonts w:ascii="Times New Roman" w:cs="Times New Roman" w:hAnsi="Times New Roman"/>
        </w:rPr>
        <w:t xml:space="preserve">, and independently evaluated by two distinct machine learning </w:t>
      </w:r>
      <w:r>
        <w:rPr>
          <w:rFonts w:ascii="Times New Roman" w:cs="Times New Roman" w:hAnsi="Times New Roman"/>
        </w:rPr>
        <w:t>algorithms</w:t>
      </w:r>
      <w:r>
        <w:rPr>
          <w:rFonts w:ascii="Times New Roman" w:cs="Times New Roman" w:hAnsi="Times New Roman"/>
        </w:rPr>
        <w:t>: RF and SVM</w:t>
      </w:r>
      <w:r>
        <w:rPr>
          <w:rFonts w:ascii="Times New Roman" w:cs="Times New Roman" w:hAnsi="Times New Roman"/>
        </w:rPr>
        <w:t>.</w:t>
      </w:r>
    </w:p>
    <w:p>
      <w:pPr>
        <w:pStyle w:val="style0"/>
        <w:spacing w:after="0" w:lineRule="auto" w:line="360"/>
        <w:ind w:firstLine="720"/>
        <w:jc w:val="both"/>
        <w:rPr>
          <w:rFonts w:ascii="Times New Roman" w:cs="Times New Roman" w:hAnsi="Times New Roman"/>
        </w:rPr>
      </w:pPr>
    </w:p>
    <w:p>
      <w:pPr>
        <w:pStyle w:val="style0"/>
        <w:jc w:val="both"/>
        <w:rPr>
          <w:rFonts w:ascii="Times New Roman" w:cs="Times New Roman" w:hAnsi="Times New Roman"/>
          <w:b/>
          <w:bCs/>
        </w:rPr>
      </w:pPr>
      <w:r>
        <w:rPr>
          <w:rFonts w:ascii="Times New Roman" w:cs="Times New Roman" w:hAnsi="Times New Roman"/>
          <w:b/>
          <w:bCs/>
        </w:rPr>
        <w:t>3.1 Data Acquisition and Feature Description</w:t>
      </w:r>
    </w:p>
    <w:p>
      <w:pPr>
        <w:pStyle w:val="style0"/>
        <w:spacing w:after="0" w:lineRule="auto" w:line="360"/>
        <w:ind w:firstLine="360"/>
        <w:jc w:val="both"/>
        <w:rPr>
          <w:rFonts w:ascii="Times New Roman" w:cs="Times New Roman" w:hAnsi="Times New Roman"/>
        </w:rPr>
      </w:pPr>
      <w:r>
        <w:rPr>
          <w:rFonts w:ascii="Times New Roman" w:cs="Times New Roman" w:hAnsi="Times New Roman"/>
        </w:rPr>
        <w:t xml:space="preserve">The dataset utilized in this study </w:t>
      </w:r>
      <w:r>
        <w:rPr>
          <w:rFonts w:ascii="Times New Roman" w:cs="Times New Roman" w:hAnsi="Times New Roman"/>
        </w:rPr>
        <w:t>is obtained from Kaggle.com</w:t>
      </w:r>
      <w:r>
        <w:rPr>
          <w:rFonts w:ascii="Times New Roman" w:cs="Times New Roman" w:hAnsi="Times New Roman"/>
        </w:rPr>
        <w:t>. The framework integrates heterogeneous data streams captured from three core types of instrumentation:</w:t>
      </w:r>
    </w:p>
    <w:p>
      <w:pPr>
        <w:pStyle w:val="style179"/>
        <w:numPr>
          <w:ilvl w:val="0"/>
          <w:numId w:val="1"/>
        </w:numPr>
        <w:spacing w:after="0" w:lineRule="auto" w:line="360"/>
        <w:jc w:val="both"/>
        <w:rPr>
          <w:rFonts w:ascii="Times New Roman" w:cs="Times New Roman" w:hAnsi="Times New Roman"/>
        </w:rPr>
      </w:pPr>
      <w:r>
        <w:rPr>
          <w:rFonts w:ascii="Times New Roman" w:cs="Times New Roman" w:hAnsi="Times New Roman"/>
        </w:rPr>
        <w:t>Strain Gauges: Measure localized micro-strain (µɛ) under both static dead loads and dynamic live traffic loads to capture structural deformation.</w:t>
      </w:r>
    </w:p>
    <w:p>
      <w:pPr>
        <w:pStyle w:val="style0"/>
        <w:numPr>
          <w:ilvl w:val="0"/>
          <w:numId w:val="1"/>
        </w:numPr>
        <w:spacing w:after="0" w:lineRule="auto" w:line="360"/>
        <w:jc w:val="both"/>
        <w:rPr>
          <w:rFonts w:ascii="Times New Roman" w:cs="Times New Roman" w:hAnsi="Times New Roman"/>
        </w:rPr>
      </w:pPr>
      <w:r>
        <w:rPr>
          <w:rFonts w:ascii="Times New Roman" w:cs="Times New Roman" w:hAnsi="Times New Roman"/>
        </w:rPr>
        <w:t>Acoustic Emission (AE) Sensors: Capture high-frequency elastic waves generated by localized micro-cracking, active corrosion, or material dislocation within the steel joint.</w:t>
      </w:r>
    </w:p>
    <w:p>
      <w:pPr>
        <w:pStyle w:val="style0"/>
        <w:numPr>
          <w:ilvl w:val="0"/>
          <w:numId w:val="1"/>
        </w:numPr>
        <w:spacing w:after="0" w:lineRule="auto" w:line="360"/>
        <w:jc w:val="both"/>
        <w:rPr>
          <w:rFonts w:ascii="Times New Roman" w:cs="Times New Roman" w:hAnsi="Times New Roman"/>
        </w:rPr>
      </w:pPr>
      <w:r>
        <w:rPr>
          <w:rFonts w:ascii="Times New Roman" w:cs="Times New Roman" w:hAnsi="Times New Roman"/>
        </w:rPr>
        <w:t>Piezoelectric Accelerometers: Record triaxial vibrational responses (acceleration in g) to evaluate global and localized frequency shifts.</w:t>
      </w:r>
    </w:p>
    <w:p>
      <w:pPr>
        <w:pStyle w:val="style0"/>
        <w:spacing w:after="0" w:lineRule="auto" w:line="360"/>
        <w:ind w:firstLine="360"/>
        <w:jc w:val="both"/>
        <w:rPr>
          <w:rFonts w:ascii="Times New Roman" w:cs="Times New Roman" w:hAnsi="Times New Roman"/>
        </w:rPr>
      </w:pPr>
      <w:r>
        <w:rPr>
          <w:rFonts w:ascii="Times New Roman" w:cs="Times New Roman" w:hAnsi="Times New Roman"/>
        </w:rPr>
        <w:t>The raw data is segmented into fixed time windows, and a multi-dimensional feature vector is extracted for each window. The input feature matrix X consists of the following engineered metrics:</w:t>
      </w:r>
    </w:p>
    <w:p>
      <w:pPr>
        <w:pStyle w:val="style179"/>
        <w:numPr>
          <w:ilvl w:val="0"/>
          <w:numId w:val="4"/>
        </w:numPr>
        <w:spacing w:after="0" w:lineRule="auto" w:line="360"/>
        <w:jc w:val="both"/>
        <w:rPr>
          <w:rFonts w:ascii="Times New Roman" w:cs="Times New Roman" w:hAnsi="Times New Roman"/>
        </w:rPr>
      </w:pPr>
      <w:r>
        <w:rPr>
          <w:rFonts w:ascii="Times New Roman" w:cs="Times New Roman" w:hAnsi="Times New Roman"/>
        </w:rPr>
        <w:t>Root Mean Square (RMS): Quantifies the overall energy profile of the vibrational and strain signals.</w:t>
      </w:r>
    </w:p>
    <w:p>
      <w:pPr>
        <w:pStyle w:val="style0"/>
        <w:numPr>
          <w:ilvl w:val="0"/>
          <w:numId w:val="4"/>
        </w:numPr>
        <w:spacing w:after="0" w:lineRule="auto" w:line="360"/>
        <w:jc w:val="both"/>
        <w:rPr>
          <w:rFonts w:ascii="Times New Roman" w:cs="Times New Roman" w:hAnsi="Times New Roman"/>
        </w:rPr>
      </w:pPr>
      <w:r>
        <w:rPr>
          <w:rFonts w:ascii="Times New Roman" w:cs="Times New Roman" w:hAnsi="Times New Roman"/>
        </w:rPr>
        <w:t>Peak Amplitude: Captures transient shock loading events or extreme acoustic emission bursts.</w:t>
      </w:r>
    </w:p>
    <w:p>
      <w:pPr>
        <w:pStyle w:val="style0"/>
        <w:numPr>
          <w:ilvl w:val="0"/>
          <w:numId w:val="4"/>
        </w:numPr>
        <w:spacing w:after="0" w:lineRule="auto" w:line="360"/>
        <w:jc w:val="both"/>
        <w:rPr>
          <w:rFonts w:ascii="Times New Roman" w:cs="Times New Roman" w:hAnsi="Times New Roman"/>
        </w:rPr>
      </w:pPr>
      <w:r>
        <w:rPr>
          <w:rFonts w:ascii="Times New Roman" w:cs="Times New Roman" w:hAnsi="Times New Roman"/>
        </w:rPr>
        <w:t>Kurtosis and Skewness: Statistical indicators used to identify structural anomalies and deviations from normal operating signal distributions.</w:t>
      </w:r>
    </w:p>
    <w:p>
      <w:pPr>
        <w:pStyle w:val="style0"/>
        <w:numPr>
          <w:ilvl w:val="0"/>
          <w:numId w:val="4"/>
        </w:numPr>
        <w:spacing w:after="0" w:lineRule="auto" w:line="360"/>
        <w:jc w:val="both"/>
        <w:rPr>
          <w:rFonts w:ascii="Times New Roman" w:cs="Times New Roman" w:hAnsi="Times New Roman"/>
        </w:rPr>
      </w:pPr>
      <w:r>
        <w:rPr>
          <w:rFonts w:ascii="Times New Roman" w:cs="Times New Roman" w:hAnsi="Times New Roman"/>
        </w:rPr>
        <w:t>Dominant Frequency (Hz): Derived via Fast Fourier Transform (FFT) to monitor shifts in natural resonant frequencies caused by structural stiffness degradation</w:t>
      </w:r>
      <w:r>
        <w:rPr>
          <w:rFonts w:ascii="Times New Roman" w:cs="Times New Roman" w:hAnsi="Times New Roman"/>
        </w:rPr>
        <w:t>.</w:t>
      </w:r>
    </w:p>
    <w:p>
      <w:pPr>
        <w:pStyle w:val="style0"/>
        <w:spacing w:after="0" w:lineRule="auto" w:line="360"/>
        <w:ind w:firstLine="360"/>
        <w:jc w:val="both"/>
        <w:rPr>
          <w:rFonts w:ascii="Times New Roman" w:cs="Times New Roman" w:eastAsia="Times New Roman" w:hAnsi="Times New Roman"/>
          <w:kern w:val="0"/>
          <w:sz w:val="24"/>
          <w:szCs w:val="24"/>
          <w:lang w:eastAsia="en-GB"/>
          <w14:ligatures xmlns:w14="http://schemas.microsoft.com/office/word/2010/wordml" w14:val="none"/>
        </w:rPr>
      </w:pPr>
      <w:r>
        <w:rPr>
          <w:rFonts w:ascii="Times New Roman" w:cs="Times New Roman" w:eastAsia="Times New Roman" w:hAnsi="Times New Roman"/>
          <w:kern w:val="0"/>
          <w:sz w:val="24"/>
          <w:szCs w:val="24"/>
          <w:lang w:eastAsia="en-GB"/>
          <w14:ligatures xmlns:w14="http://schemas.microsoft.com/office/word/2010/wordml" w14:val="none"/>
        </w:rPr>
        <w:t xml:space="preserve">The target variable is a binary indicator vector </w:t>
      </w:r>
      <w:r>
        <w:rPr>
          <w:rFonts w:ascii="Arial" w:cs="Arial" w:eastAsia="Times New Roman" w:hAnsi="Arial"/>
          <w:kern w:val="0"/>
          <w:sz w:val="24"/>
          <w:szCs w:val="24"/>
          <w:lang w:eastAsia="en-GB"/>
          <w14:ligatures xmlns:w14="http://schemas.microsoft.com/office/word/2010/wordml" w14:val="none"/>
        </w:rPr>
        <w:t xml:space="preserve">y </w:t>
      </w:r>
      <w:r>
        <w:rPr>
          <w:rFonts w:ascii="Arial" w:cs="Arial" w:eastAsia="Times New Roman" w:hAnsi="Arial"/>
          <w:i/>
          <w:iCs/>
          <w:kern w:val="0"/>
          <w:sz w:val="24"/>
          <w:szCs w:val="24"/>
          <w:lang w:eastAsia="en-GB"/>
          <w14:ligatures xmlns:w14="http://schemas.microsoft.com/office/word/2010/wordml" w14:val="none"/>
        </w:rPr>
        <w:t>Έ</w:t>
      </w:r>
      <w:r>
        <w:rPr>
          <w:rFonts w:ascii="Arial" w:cs="Arial" w:eastAsia="Times New Roman" w:hAnsi="Arial"/>
          <w:kern w:val="0"/>
          <w:sz w:val="24"/>
          <w:szCs w:val="24"/>
          <w:lang w:eastAsia="en-GB"/>
          <w14:ligatures xmlns:w14="http://schemas.microsoft.com/office/word/2010/wordml" w14:val="none"/>
        </w:rPr>
        <w:t>{</w:t>
      </w:r>
      <w:r>
        <w:rPr>
          <w:rFonts w:ascii="Arial" w:cs="Arial" w:eastAsia="Times New Roman" w:hAnsi="Arial"/>
          <w:kern w:val="0"/>
          <w:sz w:val="24"/>
          <w:szCs w:val="24"/>
          <w:lang w:eastAsia="en-GB"/>
          <w14:ligatures xmlns:w14="http://schemas.microsoft.com/office/word/2010/wordml" w14:val="none"/>
        </w:rPr>
        <w:t>0, 1}</w:t>
      </w:r>
      <w:r>
        <w:rPr>
          <w:rFonts w:ascii="Times New Roman" w:cs="Times New Roman" w:eastAsia="Times New Roman" w:hAnsi="Times New Roman"/>
          <w:kern w:val="0"/>
          <w:sz w:val="24"/>
          <w:szCs w:val="24"/>
          <w:lang w:eastAsia="en-GB"/>
          <w14:ligatures xmlns:w14="http://schemas.microsoft.com/office/word/2010/wordml" w14:val="none"/>
        </w:rPr>
        <w:t xml:space="preserve"> where </w:t>
      </w:r>
      <w:r>
        <w:rPr>
          <w:rFonts w:ascii="Arial" w:cs="Arial" w:eastAsia="Times New Roman" w:hAnsi="Arial"/>
          <w:kern w:val="0"/>
          <w:sz w:val="24"/>
          <w:szCs w:val="24"/>
          <w:lang w:eastAsia="en-GB"/>
          <w14:ligatures xmlns:w14="http://schemas.microsoft.com/office/word/2010/wordml" w14:val="none"/>
        </w:rPr>
        <w:t>0</w:t>
      </w:r>
      <w:r>
        <w:rPr>
          <w:rFonts w:ascii="Times New Roman" w:cs="Times New Roman" w:eastAsia="Times New Roman" w:hAnsi="Times New Roman"/>
          <w:kern w:val="0"/>
          <w:sz w:val="24"/>
          <w:szCs w:val="24"/>
          <w:lang w:eastAsia="en-GB"/>
          <w14:ligatures xmlns:w14="http://schemas.microsoft.com/office/word/2010/wordml" w14:val="none"/>
        </w:rPr>
        <w:t xml:space="preserve"> denotes a baseline safe operational state, and </w:t>
      </w:r>
      <w:r>
        <w:rPr>
          <w:rFonts w:ascii="Arial" w:cs="Arial" w:eastAsia="Times New Roman" w:hAnsi="Arial"/>
          <w:kern w:val="0"/>
          <w:sz w:val="24"/>
          <w:szCs w:val="24"/>
          <w:lang w:eastAsia="en-GB"/>
          <w14:ligatures xmlns:w14="http://schemas.microsoft.com/office/word/2010/wordml" w14:val="none"/>
        </w:rPr>
        <w:t>1</w:t>
      </w:r>
      <w:r>
        <w:rPr>
          <w:rFonts w:ascii="Times New Roman" w:cs="Times New Roman" w:eastAsia="Times New Roman" w:hAnsi="Times New Roman"/>
          <w:kern w:val="0"/>
          <w:sz w:val="24"/>
          <w:szCs w:val="24"/>
          <w:lang w:eastAsia="en-GB"/>
          <w14:ligatures xmlns:w14="http://schemas.microsoft.com/office/word/2010/wordml" w14:val="none"/>
        </w:rPr>
        <w:t xml:space="preserve"> represents structural degradation exceeding the safety limit (e.g., severe localized fatigue or geometric cross-sectional loss).</w:t>
      </w:r>
    </w:p>
    <w:p>
      <w:pPr>
        <w:pStyle w:val="style0"/>
        <w:spacing w:after="0" w:lineRule="auto" w:line="240"/>
        <w:ind w:firstLine="360"/>
        <w:rPr>
          <w:rFonts w:ascii="Times New Roman" w:cs="Times New Roman" w:eastAsia="Times New Roman" w:hAnsi="Times New Roman"/>
          <w:kern w:val="0"/>
          <w:sz w:val="24"/>
          <w:szCs w:val="24"/>
          <w:lang w:eastAsia="en-GB"/>
          <w14:ligatures xmlns:w14="http://schemas.microsoft.com/office/word/2010/wordml" w14:val="none"/>
        </w:rPr>
      </w:pPr>
    </w:p>
    <w:p>
      <w:pPr>
        <w:pStyle w:val="style0"/>
        <w:spacing w:after="0" w:lineRule="auto" w:line="360"/>
        <w:rPr>
          <w:rFonts w:ascii="Times New Roman" w:cs="Times New Roman" w:eastAsia="Times New Roman" w:hAnsi="Times New Roman"/>
          <w:b/>
          <w:bCs/>
          <w:kern w:val="0"/>
          <w:sz w:val="24"/>
          <w:szCs w:val="24"/>
          <w:lang w:eastAsia="en-GB"/>
          <w14:ligatures xmlns:w14="http://schemas.microsoft.com/office/word/2010/wordml" w14:val="none"/>
        </w:rPr>
      </w:pPr>
      <w:r>
        <w:rPr>
          <w:rFonts w:ascii="Times New Roman" w:cs="Times New Roman" w:eastAsia="Times New Roman" w:hAnsi="Times New Roman"/>
          <w:b/>
          <w:bCs/>
          <w:kern w:val="0"/>
          <w:sz w:val="24"/>
          <w:szCs w:val="24"/>
          <w:lang w:eastAsia="en-GB"/>
          <w14:ligatures xmlns:w14="http://schemas.microsoft.com/office/word/2010/wordml" w14:val="none"/>
        </w:rPr>
        <w:t>3.2 Proposed Framework of the Study</w:t>
      </w:r>
    </w:p>
    <w:p>
      <w:pPr>
        <w:pStyle w:val="style0"/>
        <w:spacing w:after="0" w:lineRule="auto" w:line="360"/>
        <w:rPr>
          <w:rFonts w:ascii="Times New Roman" w:cs="Times New Roman" w:eastAsia="Times New Roman" w:hAnsi="Times New Roman"/>
          <w:kern w:val="0"/>
          <w:sz w:val="24"/>
          <w:szCs w:val="24"/>
          <w:lang w:eastAsia="en-GB"/>
          <w14:ligatures xmlns:w14="http://schemas.microsoft.com/office/word/2010/wordml" w14:val="none"/>
        </w:rPr>
      </w:pPr>
      <w:r>
        <w:rPr>
          <w:rFonts w:ascii="Times New Roman" w:cs="Times New Roman" w:eastAsia="Times New Roman" w:hAnsi="Times New Roman"/>
          <w:kern w:val="0"/>
          <w:sz w:val="24"/>
          <w:szCs w:val="24"/>
          <w:lang w:eastAsia="en-GB"/>
          <w14:ligatures xmlns:w14="http://schemas.microsoft.com/office/word/2010/wordml" w14:val="none"/>
        </w:rPr>
        <w:t>The framework of the study is depicted in Figure 1</w:t>
      </w:r>
    </w:p>
    <w:p>
      <w:pPr>
        <w:pStyle w:val="style0"/>
        <w:spacing w:after="0" w:lineRule="auto" w:line="240"/>
        <w:rPr>
          <w:rFonts w:ascii="Times New Roman" w:cs="Times New Roman" w:eastAsia="Times New Roman" w:hAnsi="Times New Roman"/>
          <w:b/>
          <w:bCs/>
          <w:kern w:val="0"/>
          <w:sz w:val="24"/>
          <w:szCs w:val="24"/>
          <w:lang w:eastAsia="en-GB"/>
          <w14:ligatures xmlns:w14="http://schemas.microsoft.com/office/word/2010/wordml" w14:val="none"/>
        </w:rPr>
      </w:pPr>
      <w:r>
        <w:rPr>
          <w:b/>
          <w:noProof/>
        </w:rPr>
        <w:drawing>
          <wp:inline distL="0" distT="0" distB="0" distR="0">
            <wp:extent cx="4534480" cy="1876508"/>
            <wp:effectExtent l="19050" t="0" r="0" b="0"/>
            <wp:docPr id="1026" name="Picture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 cstate="print"/>
                    <a:srcRect l="24949" t="24336" r="29903" b="37744"/>
                    <a:stretch/>
                  </pic:blipFill>
                  <pic:spPr>
                    <a:xfrm rot="0">
                      <a:off x="0" y="0"/>
                      <a:ext cx="4534480" cy="1876508"/>
                    </a:xfrm>
                    <a:prstGeom prst="rect"/>
                    <a:ln>
                      <a:noFill/>
                    </a:ln>
                  </pic:spPr>
                </pic:pic>
              </a:graphicData>
            </a:graphic>
          </wp:inline>
        </w:drawing>
      </w:r>
    </w:p>
    <w:p>
      <w:pPr>
        <w:pStyle w:val="style0"/>
        <w:spacing w:after="0" w:lineRule="auto" w:line="360"/>
        <w:rPr>
          <w:rFonts w:ascii="Times New Roman" w:cs="Times New Roman" w:hAnsi="Times New Roman"/>
          <w:sz w:val="24"/>
          <w:szCs w:val="24"/>
        </w:rPr>
      </w:pPr>
      <w:r>
        <w:rPr>
          <w:rFonts w:ascii="Times New Roman" w:cs="Times New Roman" w:hAnsi="Times New Roman"/>
          <w:sz w:val="24"/>
          <w:szCs w:val="24"/>
        </w:rPr>
        <w:t xml:space="preserve">Figure 1: Proposed </w:t>
      </w:r>
      <w:r>
        <w:rPr>
          <w:rFonts w:ascii="Times New Roman" w:cs="Times New Roman" w:hAnsi="Times New Roman"/>
          <w:sz w:val="24"/>
          <w:szCs w:val="24"/>
        </w:rPr>
        <w:t>framework  of</w:t>
      </w:r>
      <w:r>
        <w:rPr>
          <w:rFonts w:ascii="Times New Roman" w:cs="Times New Roman" w:hAnsi="Times New Roman"/>
          <w:sz w:val="24"/>
          <w:szCs w:val="24"/>
        </w:rPr>
        <w:t xml:space="preserve"> the Study</w:t>
      </w:r>
    </w:p>
    <w:p>
      <w:pPr>
        <w:pStyle w:val="style0"/>
        <w:spacing w:after="0" w:lineRule="auto" w:line="360"/>
        <w:rPr>
          <w:rFonts w:ascii="Times New Roman" w:cs="Times New Roman" w:hAnsi="Times New Roman"/>
          <w:sz w:val="24"/>
          <w:szCs w:val="24"/>
        </w:rPr>
      </w:pPr>
      <w:r>
        <w:rPr>
          <w:rFonts w:ascii="Times New Roman" w:cs="Times New Roman" w:hAnsi="Times New Roman"/>
          <w:sz w:val="24"/>
          <w:szCs w:val="24"/>
        </w:rPr>
        <w:t>Source: The Researcher (2026)</w:t>
      </w:r>
    </w:p>
    <w:p>
      <w:pPr>
        <w:pStyle w:val="style0"/>
        <w:spacing w:after="0" w:lineRule="auto" w:line="360"/>
        <w:rPr>
          <w:rFonts w:ascii="Times New Roman" w:cs="Times New Roman" w:hAnsi="Times New Roman"/>
          <w:sz w:val="24"/>
          <w:szCs w:val="24"/>
        </w:rPr>
      </w:pPr>
    </w:p>
    <w:p>
      <w:pPr>
        <w:pStyle w:val="style0"/>
        <w:spacing w:after="0" w:lineRule="auto" w:line="360"/>
        <w:rPr>
          <w:rFonts w:ascii="Times New Roman" w:cs="Times New Roman" w:hAnsi="Times New Roman"/>
          <w:b/>
          <w:bCs/>
          <w:sz w:val="24"/>
          <w:szCs w:val="24"/>
        </w:rPr>
      </w:pPr>
      <w:r>
        <w:rPr>
          <w:rFonts w:ascii="Times New Roman" w:cs="Times New Roman" w:hAnsi="Times New Roman"/>
          <w:b/>
          <w:bCs/>
          <w:sz w:val="24"/>
          <w:szCs w:val="24"/>
        </w:rPr>
        <w:t>4. Results and Discussion</w:t>
      </w:r>
    </w:p>
    <w:p>
      <w:pPr>
        <w:pStyle w:val="style0"/>
        <w:spacing w:after="0" w:lineRule="auto" w:line="360"/>
        <w:ind w:firstLine="720"/>
        <w:jc w:val="both"/>
        <w:rPr>
          <w:rFonts w:ascii="Times New Roman" w:cs="Times New Roman" w:hAnsi="Times New Roman"/>
          <w:sz w:val="24"/>
          <w:szCs w:val="24"/>
        </w:rPr>
      </w:pPr>
      <w:r>
        <w:rPr>
          <w:rFonts w:ascii="Times New Roman" w:cs="Times New Roman" w:hAnsi="Times New Roman"/>
          <w:sz w:val="24"/>
          <w:szCs w:val="24"/>
        </w:rPr>
        <w:t>The predictive performance of the intelligent analytic framework was evaluated using the 30%</w:t>
      </w:r>
      <w:r>
        <w:rPr>
          <w:rFonts w:ascii="Times New Roman" w:cs="Times New Roman" w:hAnsi="Times New Roman"/>
          <w:sz w:val="24"/>
          <w:szCs w:val="24"/>
        </w:rPr>
        <w:t xml:space="preserve"> </w:t>
      </w:r>
      <w:r>
        <w:rPr>
          <w:rFonts w:ascii="Times New Roman" w:cs="Times New Roman" w:hAnsi="Times New Roman"/>
          <w:sz w:val="24"/>
          <w:szCs w:val="24"/>
        </w:rPr>
        <w:t>testing dataset. The parallel implementation allowed for a direct, head-to-head empirical comparison between the ensemble-based RF model and the kernel-based SVM model. Both models processed identical normalized multi-sensor feature sets extracted from the bridge gusset plates.</w:t>
      </w:r>
    </w:p>
    <w:p>
      <w:pPr>
        <w:pStyle w:val="style0"/>
        <w:spacing w:after="0" w:lineRule="auto" w:line="360"/>
        <w:jc w:val="both"/>
        <w:rPr>
          <w:rFonts w:ascii="Times New Roman" w:cs="Times New Roman" w:hAnsi="Times New Roman"/>
          <w:sz w:val="24"/>
          <w:szCs w:val="24"/>
        </w:rPr>
      </w:pPr>
    </w:p>
    <w:p>
      <w:pPr>
        <w:pStyle w:val="style0"/>
        <w:spacing w:after="0" w:lineRule="auto" w:line="360"/>
        <w:jc w:val="both"/>
        <w:rPr>
          <w:rFonts w:ascii="Times New Roman" w:cs="Times New Roman" w:hAnsi="Times New Roman"/>
          <w:sz w:val="24"/>
          <w:szCs w:val="24"/>
        </w:rPr>
      </w:pPr>
    </w:p>
    <w:p>
      <w:pPr>
        <w:pStyle w:val="style0"/>
        <w:spacing w:after="0" w:lineRule="auto" w:line="360"/>
        <w:jc w:val="both"/>
        <w:rPr>
          <w:rFonts w:ascii="Times New Roman" w:cs="Times New Roman" w:hAnsi="Times New Roman"/>
          <w:b/>
          <w:bCs/>
          <w:sz w:val="24"/>
          <w:szCs w:val="24"/>
        </w:rPr>
      </w:pPr>
      <w:r>
        <w:rPr>
          <w:rFonts w:ascii="Times New Roman" w:cs="Times New Roman" w:hAnsi="Times New Roman"/>
          <w:b/>
          <w:bCs/>
          <w:sz w:val="24"/>
          <w:szCs w:val="24"/>
        </w:rPr>
        <w:t>4.1 Quantitative Performance Metrics</w:t>
      </w:r>
    </w:p>
    <w:p>
      <w:pPr>
        <w:pStyle w:val="style0"/>
        <w:spacing w:after="0" w:lineRule="auto" w:line="360"/>
        <w:ind w:firstLine="720"/>
        <w:jc w:val="both"/>
        <w:rPr>
          <w:rFonts w:ascii="Times New Roman" w:cs="Times New Roman" w:hAnsi="Times New Roman"/>
          <w:sz w:val="24"/>
          <w:szCs w:val="24"/>
        </w:rPr>
      </w:pPr>
      <w:r>
        <w:rPr>
          <w:rFonts w:ascii="Times New Roman" w:cs="Times New Roman" w:hAnsi="Times New Roman"/>
          <w:sz w:val="24"/>
          <w:szCs w:val="24"/>
        </w:rPr>
        <w:t>To establish a rigorous baseline, both classifiers were mapped against a multi-class confusion matrix to extract true positives (TP), true negatives (TN), false positives (FP), and false negatives (FN). The global classification performance metrics are summarized in Table 1.</w:t>
      </w:r>
    </w:p>
    <w:p>
      <w:pPr>
        <w:pStyle w:val="style0"/>
        <w:spacing w:after="0" w:lineRule="auto" w:line="360"/>
        <w:jc w:val="both"/>
        <w:rPr>
          <w:rFonts w:ascii="Times New Roman" w:cs="Times New Roman" w:hAnsi="Times New Roman"/>
          <w:b/>
          <w:bCs/>
          <w:sz w:val="24"/>
          <w:szCs w:val="24"/>
        </w:rPr>
      </w:pPr>
      <w:r>
        <w:rPr>
          <w:rFonts w:ascii="Times New Roman" w:cs="Times New Roman" w:hAnsi="Times New Roman"/>
          <w:b/>
          <w:bCs/>
          <w:sz w:val="24"/>
          <w:szCs w:val="24"/>
        </w:rPr>
        <w:t>Table 1: Comparative Classification Performance Metrics</w:t>
      </w:r>
    </w:p>
    <w:tbl>
      <w:tblPr>
        <w:tblStyle w:val="style154"/>
        <w:tblW w:w="0" w:type="auto"/>
        <w:tblLook w:val="04A0" w:firstRow="1" w:lastRow="0" w:firstColumn="1" w:lastColumn="0" w:noHBand="0" w:noVBand="1"/>
      </w:tblPr>
      <w:tblGrid>
        <w:gridCol w:w="3351"/>
        <w:gridCol w:w="1202"/>
        <w:gridCol w:w="1210"/>
        <w:gridCol w:w="2121"/>
        <w:gridCol w:w="1140"/>
      </w:tblGrid>
      <w:tr>
        <w:trPr/>
        <w:tc>
          <w:tcPr>
            <w:tcW w:w="0" w:type="auto"/>
            <w:tcBorders/>
            <w:hideMark/>
          </w:tcPr>
          <w:p>
            <w:pPr>
              <w:pStyle w:val="style0"/>
              <w:jc w:val="both"/>
              <w:rPr>
                <w:rFonts w:ascii="Times New Roman" w:cs="Times New Roman" w:hAnsi="Times New Roman"/>
                <w:sz w:val="24"/>
                <w:szCs w:val="24"/>
              </w:rPr>
            </w:pPr>
            <w:r>
              <w:rPr>
                <w:rFonts w:ascii="Times New Roman" w:cs="Times New Roman" w:hAnsi="Times New Roman"/>
                <w:sz w:val="24"/>
                <w:szCs w:val="24"/>
              </w:rPr>
              <w:t>Machine Learning Model</w:t>
            </w:r>
          </w:p>
        </w:tc>
        <w:tc>
          <w:tcPr>
            <w:tcW w:w="0" w:type="auto"/>
            <w:tcBorders/>
            <w:hideMark/>
          </w:tcPr>
          <w:p>
            <w:pPr>
              <w:pStyle w:val="style0"/>
              <w:jc w:val="both"/>
              <w:rPr>
                <w:rFonts w:ascii="Times New Roman" w:cs="Times New Roman" w:hAnsi="Times New Roman"/>
                <w:sz w:val="24"/>
                <w:szCs w:val="24"/>
              </w:rPr>
            </w:pPr>
            <w:r>
              <w:rPr>
                <w:rFonts w:ascii="Times New Roman" w:cs="Times New Roman" w:hAnsi="Times New Roman"/>
                <w:sz w:val="24"/>
                <w:szCs w:val="24"/>
              </w:rPr>
              <w:t>Accuracy</w:t>
            </w:r>
          </w:p>
        </w:tc>
        <w:tc>
          <w:tcPr>
            <w:tcW w:w="0" w:type="auto"/>
            <w:tcBorders/>
            <w:hideMark/>
          </w:tcPr>
          <w:p>
            <w:pPr>
              <w:pStyle w:val="style0"/>
              <w:jc w:val="both"/>
              <w:rPr>
                <w:rFonts w:ascii="Times New Roman" w:cs="Times New Roman" w:hAnsi="Times New Roman"/>
                <w:sz w:val="24"/>
                <w:szCs w:val="24"/>
              </w:rPr>
            </w:pPr>
            <w:r>
              <w:rPr>
                <w:rFonts w:ascii="Times New Roman" w:cs="Times New Roman" w:hAnsi="Times New Roman"/>
                <w:sz w:val="24"/>
                <w:szCs w:val="24"/>
              </w:rPr>
              <w:t>Precision</w:t>
            </w:r>
          </w:p>
        </w:tc>
        <w:tc>
          <w:tcPr>
            <w:tcW w:w="0" w:type="auto"/>
            <w:tcBorders/>
            <w:hideMark/>
          </w:tcPr>
          <w:p>
            <w:pPr>
              <w:pStyle w:val="style0"/>
              <w:jc w:val="both"/>
              <w:rPr>
                <w:rFonts w:ascii="Times New Roman" w:cs="Times New Roman" w:hAnsi="Times New Roman"/>
                <w:sz w:val="24"/>
                <w:szCs w:val="24"/>
              </w:rPr>
            </w:pPr>
            <w:r>
              <w:rPr>
                <w:rFonts w:ascii="Times New Roman" w:cs="Times New Roman" w:hAnsi="Times New Roman"/>
                <w:sz w:val="24"/>
                <w:szCs w:val="24"/>
              </w:rPr>
              <w:t>Recall (Sensitivity)</w:t>
            </w:r>
          </w:p>
        </w:tc>
        <w:tc>
          <w:tcPr>
            <w:tcW w:w="0" w:type="auto"/>
            <w:tcBorders/>
            <w:hideMark/>
          </w:tcPr>
          <w:p>
            <w:pPr>
              <w:pStyle w:val="style0"/>
              <w:jc w:val="both"/>
              <w:rPr>
                <w:rFonts w:ascii="Times New Roman" w:cs="Times New Roman" w:hAnsi="Times New Roman"/>
                <w:sz w:val="24"/>
                <w:szCs w:val="24"/>
              </w:rPr>
            </w:pPr>
            <w:r>
              <w:rPr>
                <w:rFonts w:ascii="Times New Roman" w:cs="Times New Roman" w:hAnsi="Times New Roman"/>
                <w:sz w:val="24"/>
                <w:szCs w:val="24"/>
              </w:rPr>
              <w:t>F1-Score</w:t>
            </w:r>
          </w:p>
        </w:tc>
      </w:tr>
      <w:tr>
        <w:tblPrEx/>
        <w:trPr/>
        <w:tc>
          <w:tcPr>
            <w:tcW w:w="0" w:type="auto"/>
            <w:tcBorders/>
            <w:hideMark/>
          </w:tcPr>
          <w:p>
            <w:pPr>
              <w:pStyle w:val="style0"/>
              <w:jc w:val="both"/>
              <w:rPr>
                <w:rFonts w:ascii="Times New Roman" w:cs="Times New Roman" w:hAnsi="Times New Roman"/>
                <w:sz w:val="24"/>
                <w:szCs w:val="24"/>
              </w:rPr>
            </w:pPr>
            <w:r>
              <w:rPr>
                <w:rFonts w:ascii="Times New Roman" w:cs="Times New Roman" w:hAnsi="Times New Roman"/>
                <w:sz w:val="24"/>
                <w:szCs w:val="24"/>
              </w:rPr>
              <w:t>Random Forest (RF)</w:t>
            </w:r>
          </w:p>
        </w:tc>
        <w:tc>
          <w:tcPr>
            <w:tcW w:w="0" w:type="auto"/>
            <w:tcBorders/>
            <w:hideMark/>
          </w:tcPr>
          <w:p>
            <w:pPr>
              <w:pStyle w:val="style0"/>
              <w:jc w:val="both"/>
              <w:rPr>
                <w:rFonts w:ascii="Times New Roman" w:cs="Times New Roman" w:hAnsi="Times New Roman"/>
                <w:sz w:val="24"/>
                <w:szCs w:val="24"/>
              </w:rPr>
            </w:pPr>
            <w:r>
              <w:rPr>
                <w:rFonts w:ascii="Times New Roman" w:cs="Times New Roman" w:hAnsi="Times New Roman"/>
                <w:sz w:val="24"/>
                <w:szCs w:val="24"/>
              </w:rPr>
              <w:t>94.6%</w:t>
            </w:r>
          </w:p>
        </w:tc>
        <w:tc>
          <w:tcPr>
            <w:tcW w:w="0" w:type="auto"/>
            <w:tcBorders/>
            <w:hideMark/>
          </w:tcPr>
          <w:p>
            <w:pPr>
              <w:pStyle w:val="style0"/>
              <w:jc w:val="both"/>
              <w:rPr>
                <w:rFonts w:ascii="Times New Roman" w:cs="Times New Roman" w:hAnsi="Times New Roman"/>
                <w:sz w:val="24"/>
                <w:szCs w:val="24"/>
              </w:rPr>
            </w:pPr>
            <w:r>
              <w:rPr>
                <w:rFonts w:ascii="Times New Roman" w:cs="Times New Roman" w:hAnsi="Times New Roman"/>
                <w:sz w:val="24"/>
                <w:szCs w:val="24"/>
              </w:rPr>
              <w:t>93.2%</w:t>
            </w:r>
          </w:p>
        </w:tc>
        <w:tc>
          <w:tcPr>
            <w:tcW w:w="0" w:type="auto"/>
            <w:tcBorders/>
            <w:hideMark/>
          </w:tcPr>
          <w:p>
            <w:pPr>
              <w:pStyle w:val="style0"/>
              <w:jc w:val="both"/>
              <w:rPr>
                <w:rFonts w:ascii="Times New Roman" w:cs="Times New Roman" w:hAnsi="Times New Roman"/>
                <w:sz w:val="24"/>
                <w:szCs w:val="24"/>
              </w:rPr>
            </w:pPr>
            <w:r>
              <w:rPr>
                <w:rFonts w:ascii="Times New Roman" w:cs="Times New Roman" w:hAnsi="Times New Roman"/>
                <w:sz w:val="24"/>
                <w:szCs w:val="24"/>
              </w:rPr>
              <w:t>96.1%</w:t>
            </w:r>
          </w:p>
        </w:tc>
        <w:tc>
          <w:tcPr>
            <w:tcW w:w="0" w:type="auto"/>
            <w:tcBorders/>
            <w:hideMark/>
          </w:tcPr>
          <w:p>
            <w:pPr>
              <w:pStyle w:val="style0"/>
              <w:jc w:val="both"/>
              <w:rPr>
                <w:rFonts w:ascii="Times New Roman" w:cs="Times New Roman" w:hAnsi="Times New Roman"/>
                <w:sz w:val="24"/>
                <w:szCs w:val="24"/>
              </w:rPr>
            </w:pPr>
            <w:r>
              <w:rPr>
                <w:rFonts w:ascii="Times New Roman" w:cs="Times New Roman" w:hAnsi="Times New Roman"/>
                <w:sz w:val="24"/>
                <w:szCs w:val="24"/>
              </w:rPr>
              <w:t>94.6%</w:t>
            </w:r>
          </w:p>
        </w:tc>
      </w:tr>
      <w:tr>
        <w:tblPrEx/>
        <w:trPr/>
        <w:tc>
          <w:tcPr>
            <w:tcW w:w="0" w:type="auto"/>
            <w:tcBorders/>
            <w:hideMark/>
          </w:tcPr>
          <w:p>
            <w:pPr>
              <w:pStyle w:val="style0"/>
              <w:jc w:val="both"/>
              <w:rPr>
                <w:rFonts w:ascii="Times New Roman" w:cs="Times New Roman" w:hAnsi="Times New Roman"/>
                <w:sz w:val="24"/>
                <w:szCs w:val="24"/>
              </w:rPr>
            </w:pPr>
            <w:r>
              <w:rPr>
                <w:rFonts w:ascii="Times New Roman" w:cs="Times New Roman" w:hAnsi="Times New Roman"/>
                <w:sz w:val="24"/>
                <w:szCs w:val="24"/>
              </w:rPr>
              <w:t>Support Vector Machine (SVM)</w:t>
            </w:r>
          </w:p>
        </w:tc>
        <w:tc>
          <w:tcPr>
            <w:tcW w:w="0" w:type="auto"/>
            <w:tcBorders/>
            <w:hideMark/>
          </w:tcPr>
          <w:p>
            <w:pPr>
              <w:pStyle w:val="style0"/>
              <w:jc w:val="both"/>
              <w:rPr>
                <w:rFonts w:ascii="Times New Roman" w:cs="Times New Roman" w:hAnsi="Times New Roman"/>
                <w:sz w:val="24"/>
                <w:szCs w:val="24"/>
              </w:rPr>
            </w:pPr>
            <w:r>
              <w:rPr>
                <w:rFonts w:ascii="Times New Roman" w:cs="Times New Roman" w:hAnsi="Times New Roman"/>
                <w:sz w:val="24"/>
                <w:szCs w:val="24"/>
              </w:rPr>
              <w:t>91.8%</w:t>
            </w:r>
          </w:p>
        </w:tc>
        <w:tc>
          <w:tcPr>
            <w:tcW w:w="0" w:type="auto"/>
            <w:tcBorders/>
            <w:hideMark/>
          </w:tcPr>
          <w:p>
            <w:pPr>
              <w:pStyle w:val="style0"/>
              <w:jc w:val="both"/>
              <w:rPr>
                <w:rFonts w:ascii="Times New Roman" w:cs="Times New Roman" w:hAnsi="Times New Roman"/>
                <w:sz w:val="24"/>
                <w:szCs w:val="24"/>
              </w:rPr>
            </w:pPr>
            <w:r>
              <w:rPr>
                <w:rFonts w:ascii="Times New Roman" w:cs="Times New Roman" w:hAnsi="Times New Roman"/>
                <w:sz w:val="24"/>
                <w:szCs w:val="24"/>
              </w:rPr>
              <w:t>94.5%</w:t>
            </w:r>
          </w:p>
        </w:tc>
        <w:tc>
          <w:tcPr>
            <w:tcW w:w="0" w:type="auto"/>
            <w:tcBorders/>
            <w:hideMark/>
          </w:tcPr>
          <w:p>
            <w:pPr>
              <w:pStyle w:val="style0"/>
              <w:jc w:val="both"/>
              <w:rPr>
                <w:rFonts w:ascii="Times New Roman" w:cs="Times New Roman" w:hAnsi="Times New Roman"/>
                <w:sz w:val="24"/>
                <w:szCs w:val="24"/>
              </w:rPr>
            </w:pPr>
            <w:r>
              <w:rPr>
                <w:rFonts w:ascii="Times New Roman" w:cs="Times New Roman" w:hAnsi="Times New Roman"/>
                <w:sz w:val="24"/>
                <w:szCs w:val="24"/>
              </w:rPr>
              <w:t>89.2%</w:t>
            </w:r>
          </w:p>
        </w:tc>
        <w:tc>
          <w:tcPr>
            <w:tcW w:w="0" w:type="auto"/>
            <w:tcBorders/>
            <w:hideMark/>
          </w:tcPr>
          <w:p>
            <w:pPr>
              <w:pStyle w:val="style0"/>
              <w:jc w:val="both"/>
              <w:rPr>
                <w:rFonts w:ascii="Times New Roman" w:cs="Times New Roman" w:hAnsi="Times New Roman"/>
                <w:sz w:val="24"/>
                <w:szCs w:val="24"/>
              </w:rPr>
            </w:pPr>
            <w:r>
              <w:rPr>
                <w:rFonts w:ascii="Times New Roman" w:cs="Times New Roman" w:hAnsi="Times New Roman"/>
                <w:sz w:val="24"/>
                <w:szCs w:val="24"/>
              </w:rPr>
              <w:t>91.8%</w:t>
            </w:r>
          </w:p>
        </w:tc>
      </w:tr>
    </w:tbl>
    <w:p>
      <w:pPr>
        <w:pStyle w:val="style0"/>
        <w:spacing w:after="0" w:lineRule="auto" w:line="360"/>
        <w:jc w:val="both"/>
        <w:rPr>
          <w:rFonts w:ascii="Times New Roman" w:cs="Times New Roman" w:hAnsi="Times New Roman"/>
          <w:sz w:val="24"/>
          <w:szCs w:val="24"/>
        </w:rPr>
      </w:pPr>
    </w:p>
    <w:p>
      <w:pPr>
        <w:pStyle w:val="style0"/>
        <w:spacing w:after="0" w:lineRule="auto" w:line="360"/>
        <w:ind w:firstLine="720"/>
        <w:jc w:val="both"/>
        <w:rPr>
          <w:rFonts w:ascii="Times New Roman" w:cs="Times New Roman" w:hAnsi="Times New Roman"/>
          <w:sz w:val="24"/>
          <w:szCs w:val="24"/>
        </w:rPr>
      </w:pPr>
      <w:r>
        <w:rPr>
          <w:rFonts w:ascii="Times New Roman" w:cs="Times New Roman" w:hAnsi="Times New Roman"/>
          <w:sz w:val="24"/>
          <w:szCs w:val="24"/>
        </w:rPr>
        <w:t>The empirical results demonstrate that the RF</w:t>
      </w:r>
      <w:r>
        <w:rPr>
          <w:rFonts w:ascii="Times New Roman" w:cs="Times New Roman" w:hAnsi="Times New Roman"/>
          <w:sz w:val="24"/>
          <w:szCs w:val="24"/>
        </w:rPr>
        <w:t xml:space="preserve"> model</w:t>
      </w:r>
      <w:r>
        <w:rPr>
          <w:rFonts w:ascii="Times New Roman" w:cs="Times New Roman" w:hAnsi="Times New Roman"/>
          <w:sz w:val="24"/>
          <w:szCs w:val="24"/>
        </w:rPr>
        <w:t xml:space="preserve"> out-performed the Support Vector Machine in global classification accuracy, achieving a score of 94.6% compared to the SVM’s 91.8%.</w:t>
      </w:r>
    </w:p>
    <w:p>
      <w:pPr>
        <w:pStyle w:val="style0"/>
        <w:spacing w:after="0" w:lineRule="auto" w:line="360"/>
        <w:ind w:firstLine="720"/>
        <w:jc w:val="both"/>
        <w:rPr>
          <w:rFonts w:ascii="Times New Roman" w:cs="Times New Roman" w:hAnsi="Times New Roman"/>
          <w:sz w:val="24"/>
          <w:szCs w:val="24"/>
        </w:rPr>
      </w:pPr>
      <w:r>
        <w:rPr>
          <w:rFonts w:ascii="Times New Roman" w:cs="Times New Roman" w:hAnsi="Times New Roman"/>
          <w:sz w:val="24"/>
          <w:szCs w:val="24"/>
        </w:rPr>
        <w:t>In the context of failure-critical civil infrastructure safety, Recall is the most vital metric, as it quantifies the system's ability to avoid false negatives (missing an active structural joint failure). The RF model achieved an exceptional recall of 96.1%, outstripping the SVM by 6.9%. This indicates that the decision-tree ensemble structure is significantly more capable of identifying subtle anomaly trends embedded within noisy, multi-modal sensor streams. Conversely, the SVM achieved a higher precision rate (94.5%), indicating a lower false-alarm distribution under stable operational loads.</w:t>
      </w:r>
    </w:p>
    <w:p>
      <w:pPr>
        <w:pStyle w:val="style0"/>
        <w:spacing w:after="0" w:lineRule="auto" w:line="360"/>
        <w:ind w:firstLine="720"/>
        <w:jc w:val="both"/>
        <w:rPr>
          <w:rFonts w:ascii="Times New Roman" w:cs="Times New Roman" w:hAnsi="Times New Roman"/>
          <w:sz w:val="24"/>
          <w:szCs w:val="24"/>
        </w:rPr>
      </w:pPr>
    </w:p>
    <w:p>
      <w:pPr>
        <w:pStyle w:val="style0"/>
        <w:spacing w:after="0" w:lineRule="auto" w:line="360"/>
        <w:jc w:val="both"/>
        <w:rPr>
          <w:rFonts w:ascii="Times New Roman" w:cs="Times New Roman" w:hAnsi="Times New Roman"/>
          <w:b/>
          <w:bCs/>
          <w:sz w:val="24"/>
          <w:szCs w:val="24"/>
        </w:rPr>
      </w:pPr>
      <w:r>
        <w:rPr>
          <w:rFonts w:ascii="Times New Roman" w:cs="Times New Roman" w:hAnsi="Times New Roman"/>
          <w:b/>
          <w:bCs/>
          <w:sz w:val="24"/>
          <w:szCs w:val="24"/>
        </w:rPr>
        <w:t>4.2 Threshold Stability and ROC Analysis</w:t>
      </w:r>
    </w:p>
    <w:p>
      <w:pPr>
        <w:pStyle w:val="style0"/>
        <w:spacing w:after="0" w:lineRule="auto" w:line="360"/>
        <w:ind w:firstLine="720"/>
        <w:jc w:val="both"/>
        <w:rPr>
          <w:rFonts w:ascii="Times New Roman" w:cs="Times New Roman" w:hAnsi="Times New Roman"/>
          <w:sz w:val="24"/>
          <w:szCs w:val="24"/>
        </w:rPr>
      </w:pPr>
      <w:r>
        <w:rPr>
          <w:rFonts w:ascii="Times New Roman" w:cs="Times New Roman" w:hAnsi="Times New Roman"/>
          <w:sz w:val="24"/>
          <w:szCs w:val="24"/>
        </w:rPr>
        <w:t>To assess the stability of the classification boundaries under changing operational conditions and dynamic environmental noise, a Receiver Operating Characteristic (ROC) analysis was conducted. The true positive rate (TPR) was plotted against the false positive rate (FPR) across all operational decision thresholds, governed by the following relationship:</w:t>
      </w:r>
    </w:p>
    <w:p>
      <w:pPr>
        <w:pStyle w:val="style0"/>
        <w:jc w:val="both"/>
        <w:rPr>
          <w:rFonts w:ascii="Times New Roman" w:cs="Times New Roman" w:hAnsi="Times New Roman"/>
        </w:rPr>
      </w:pPr>
      <w:r>
        <w:rPr>
          <w:noProof/>
        </w:rPr>
        <w:drawing>
          <wp:anchor distT="0" distB="0" distL="114300" distR="114300" simplePos="false" relativeHeight="2" behindDoc="false" locked="false" layoutInCell="true" allowOverlap="true">
            <wp:simplePos x="0" y="0"/>
            <wp:positionH relativeFrom="margin">
              <wp:align>left</wp:align>
            </wp:positionH>
            <wp:positionV relativeFrom="paragraph">
              <wp:align>top</wp:align>
            </wp:positionV>
            <wp:extent cx="3835400" cy="679450"/>
            <wp:effectExtent l="0" t="0" r="0" b="6350"/>
            <wp:wrapSquare wrapText="bothSides"/>
            <wp:docPr id="1027" name="Picture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3" cstate="print"/>
                    <a:srcRect l="32240" t="45303" r="27543" b="39531"/>
                    <a:stretch/>
                  </pic:blipFill>
                  <pic:spPr>
                    <a:xfrm rot="0">
                      <a:off x="0" y="0"/>
                      <a:ext cx="3835400" cy="679450"/>
                    </a:xfrm>
                    <a:prstGeom prst="rect"/>
                    <a:ln>
                      <a:noFill/>
                    </a:ln>
                  </pic:spPr>
                </pic:pic>
              </a:graphicData>
            </a:graphic>
            <wp14:sizeRelH relativeFrom="margin">
              <wp14:pctWidth>0</wp14:pctWidth>
            </wp14:sizeRelH>
          </wp:anchor>
        </w:drawing>
      </w:r>
      <w:r>
        <w:rPr>
          <w:rFonts w:ascii="Times New Roman" w:cs="Times New Roman" w:hAnsi="Times New Roman"/>
        </w:rPr>
        <w:t>Equation 1</w:t>
      </w:r>
      <w:r>
        <w:rPr>
          <w:rFonts w:ascii="Times New Roman" w:cs="Times New Roman" w:hAnsi="Times New Roman"/>
        </w:rPr>
        <w:br w:clear="all"/>
      </w:r>
    </w:p>
    <w:p>
      <w:pPr>
        <w:pStyle w:val="style0"/>
        <w:spacing w:lineRule="auto" w:line="360"/>
        <w:ind w:firstLine="720"/>
        <w:jc w:val="both"/>
        <w:rPr>
          <w:rFonts w:ascii="Times New Roman" w:cs="Times New Roman" w:hAnsi="Times New Roman"/>
        </w:rPr>
      </w:pPr>
      <w:r>
        <w:rPr>
          <w:rFonts w:ascii="Times New Roman" w:cs="Times New Roman" w:hAnsi="Times New Roman"/>
        </w:rPr>
        <w:t>T</w:t>
      </w:r>
      <w:r>
        <w:rPr>
          <w:rFonts w:ascii="Times New Roman" w:cs="Times New Roman" w:hAnsi="Times New Roman"/>
        </w:rPr>
        <w:t>he RF model achieved a higher Area Under the Curve (AUC) value of 0.972, whereas the SVM achieved an AUC of 0.938. The steeper initial trajectory of the RF curve indicates that the ensemble model maintains high sensitivity without suffering from an inflation of false-positive alarms, confirming its viability for real-time deployment on busy highway structures.</w:t>
      </w:r>
    </w:p>
    <w:p>
      <w:pPr>
        <w:pStyle w:val="style0"/>
        <w:spacing w:lineRule="auto" w:line="360"/>
        <w:ind w:firstLine="720"/>
        <w:jc w:val="both"/>
        <w:rPr>
          <w:rFonts w:ascii="Times New Roman" w:cs="Times New Roman" w:hAnsi="Times New Roman"/>
        </w:rPr>
      </w:pPr>
    </w:p>
    <w:p>
      <w:pPr>
        <w:pStyle w:val="style0"/>
        <w:spacing w:after="0" w:lineRule="auto" w:line="360"/>
        <w:jc w:val="both"/>
        <w:rPr>
          <w:rFonts w:ascii="Times New Roman" w:cs="Times New Roman" w:hAnsi="Times New Roman"/>
          <w:b/>
          <w:bCs/>
        </w:rPr>
      </w:pPr>
      <w:r>
        <w:rPr>
          <w:rFonts w:ascii="Times New Roman" w:cs="Times New Roman" w:hAnsi="Times New Roman"/>
          <w:b/>
          <w:bCs/>
        </w:rPr>
        <w:t>4.3 Confusion Matrix and Error Distribution</w:t>
      </w:r>
    </w:p>
    <w:p>
      <w:pPr>
        <w:pStyle w:val="style0"/>
        <w:spacing w:after="0" w:lineRule="auto" w:line="360"/>
        <w:ind w:firstLine="720"/>
        <w:jc w:val="both"/>
        <w:rPr>
          <w:rFonts w:ascii="Times New Roman" w:cs="Times New Roman" w:hAnsi="Times New Roman"/>
        </w:rPr>
      </w:pPr>
      <w:r>
        <w:rPr>
          <w:rFonts w:ascii="Times New Roman" w:cs="Times New Roman" w:hAnsi="Times New Roman"/>
        </w:rPr>
        <w:t xml:space="preserve">A deeper analysis of the misclassification distributions provides critical insights into how the physical sensor metrics influenced model </w:t>
      </w:r>
      <w:r>
        <w:rPr>
          <w:rFonts w:ascii="Times New Roman" w:cs="Times New Roman" w:hAnsi="Times New Roman"/>
        </w:rPr>
        <w:t>behaviour</w:t>
      </w:r>
      <w:r>
        <w:rPr>
          <w:rFonts w:ascii="Times New Roman" w:cs="Times New Roman" w:hAnsi="Times New Roman"/>
        </w:rPr>
        <w:t>.</w:t>
      </w:r>
    </w:p>
    <w:p>
      <w:pPr>
        <w:pStyle w:val="style0"/>
        <w:spacing w:after="0" w:lineRule="auto" w:line="360"/>
        <w:ind w:firstLine="720"/>
        <w:jc w:val="both"/>
        <w:rPr>
          <w:rFonts w:ascii="Times New Roman" w:cs="Times New Roman" w:hAnsi="Times New Roman"/>
        </w:rPr>
      </w:pPr>
      <w:r>
        <w:rPr>
          <w:rFonts w:ascii="Times New Roman" w:cs="Times New Roman" w:hAnsi="Times New Roman"/>
        </w:rPr>
        <w:t>The confusion matrix data indicates that the SVM’s lower recall was primarily driven by its tendency to misclassify low-amplitude acoustic emissions and localized micro-strains as Class 0 (Structurally Sound). Because the SVM relies on a global maximum-margin hyperplane mapping via the Radial Basis Function (RBF) kernel:</w:t>
      </w:r>
    </w:p>
    <w:p>
      <w:pPr>
        <w:pStyle w:val="style0"/>
        <w:spacing w:after="0" w:lineRule="auto" w:line="360"/>
        <w:ind w:firstLine="720"/>
        <w:jc w:val="both"/>
        <w:rPr>
          <w:rFonts w:ascii="Times New Roman" w:cs="Times New Roman" w:hAnsi="Times New Roman"/>
        </w:rPr>
      </w:pPr>
      <w:r>
        <w:rPr>
          <w:noProof/>
        </w:rPr>
        <w:drawing>
          <wp:inline distL="0" distT="0" distB="0" distR="0">
            <wp:extent cx="3676650" cy="812800"/>
            <wp:effectExtent l="0" t="0" r="0" b="6350"/>
            <wp:docPr id="1028" name="Picture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Picture 1"/>
                    <pic:cNvPicPr/>
                  </pic:nvPicPr>
                  <pic:blipFill>
                    <a:blip r:embed="rId4" cstate="print"/>
                    <a:srcRect l="29692" t="39393" r="24773" b="52137"/>
                    <a:stretch/>
                  </pic:blipFill>
                  <pic:spPr>
                    <a:xfrm rot="0">
                      <a:off x="0" y="0"/>
                      <a:ext cx="3676650" cy="812800"/>
                    </a:xfrm>
                    <a:prstGeom prst="rect"/>
                    <a:ln>
                      <a:noFill/>
                    </a:ln>
                  </pic:spPr>
                </pic:pic>
              </a:graphicData>
            </a:graphic>
          </wp:inline>
        </w:drawing>
      </w:r>
      <w:r>
        <w:rPr>
          <w:rFonts w:ascii="Times New Roman" w:cs="Times New Roman" w:hAnsi="Times New Roman"/>
        </w:rPr>
        <w:t>Equation 2</w:t>
      </w:r>
    </w:p>
    <w:p>
      <w:pPr>
        <w:pStyle w:val="style0"/>
        <w:spacing w:after="0" w:lineRule="auto" w:line="360"/>
        <w:jc w:val="both"/>
        <w:rPr>
          <w:rFonts w:ascii="Times New Roman" w:cs="Times New Roman" w:hAnsi="Times New Roman"/>
        </w:rPr>
      </w:pPr>
      <w:r>
        <w:rPr>
          <w:rFonts w:ascii="Times New Roman" w:cs="Times New Roman" w:hAnsi="Times New Roman"/>
        </w:rPr>
        <w:t>extremely chaotic traffic noise data caused a slight overlap near the boundary vectors, forcing the SVM to sacrifice boundary sensitivity.</w:t>
      </w:r>
    </w:p>
    <w:p>
      <w:pPr>
        <w:pStyle w:val="style0"/>
        <w:spacing w:after="0" w:lineRule="auto" w:line="360"/>
        <w:ind w:firstLine="720"/>
        <w:jc w:val="both"/>
        <w:rPr>
          <w:rFonts w:ascii="Times New Roman" w:cs="Times New Roman" w:hAnsi="Times New Roman"/>
        </w:rPr>
      </w:pPr>
      <w:r>
        <w:rPr>
          <w:rFonts w:ascii="Times New Roman" w:cs="Times New Roman" w:hAnsi="Times New Roman"/>
        </w:rPr>
        <w:t>On the other hand, the bootstrap-aggregating (bagging) mechanism of the Random Forest model isolated individual noisy sensor features through parallel tree partitions. By evaluating Gini impurity splits across localized feature subsets, the RF framework effectively isolated specific high-frequency structural cracks from background vibration, yielding a significantly lower false-negative distribution. This confirms that for noisy, real-world structural monitoring applications, parallel decision-tree ensembles provide a more resilient early warning analytic framework than traditional kernel-based margin classifiers.</w:t>
      </w:r>
    </w:p>
    <w:p>
      <w:pPr>
        <w:pStyle w:val="style0"/>
        <w:spacing w:after="0" w:lineRule="auto" w:line="360"/>
        <w:ind w:firstLine="720"/>
        <w:jc w:val="both"/>
        <w:rPr>
          <w:rFonts w:ascii="Times New Roman" w:cs="Times New Roman" w:hAnsi="Times New Roman"/>
        </w:rPr>
      </w:pPr>
      <w:r>
        <w:rPr>
          <w:rFonts w:ascii="Times New Roman" w:cs="Times New Roman" w:hAnsi="Times New Roman"/>
        </w:rPr>
        <w:t>The ROC and confusion matrix for RF and SVM are s</w:t>
      </w:r>
      <w:r>
        <w:rPr>
          <w:rFonts w:ascii="Times New Roman" w:cs="Times New Roman" w:hAnsi="Times New Roman"/>
        </w:rPr>
        <w:t>h</w:t>
      </w:r>
      <w:r>
        <w:rPr>
          <w:rFonts w:ascii="Times New Roman" w:cs="Times New Roman" w:hAnsi="Times New Roman"/>
        </w:rPr>
        <w:t>own in Figure 2</w:t>
      </w:r>
    </w:p>
    <w:p>
      <w:pPr>
        <w:pStyle w:val="style0"/>
        <w:spacing w:after="0" w:lineRule="auto" w:line="360"/>
        <w:ind w:firstLine="720"/>
        <w:jc w:val="both"/>
        <w:rPr>
          <w:rFonts w:ascii="Times New Roman" w:cs="Times New Roman" w:hAnsi="Times New Roman"/>
        </w:rPr>
      </w:pPr>
      <w:r>
        <w:rPr>
          <w:rFonts w:ascii="Times New Roman" w:cs="Times New Roman" w:hAnsi="Times New Roman"/>
          <w:noProof/>
        </w:rPr>
        <w:drawing>
          <wp:inline distL="0" distT="0" distB="0" distR="0">
            <wp:extent cx="5731510" cy="3562350"/>
            <wp:effectExtent l="0" t="0" r="2540" b="0"/>
            <wp:docPr id="1029" name="Picture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3" name="Picture 1"/>
                    <pic:cNvPicPr/>
                  </pic:nvPicPr>
                  <pic:blipFill>
                    <a:blip r:embed="rId5" cstate="print"/>
                    <a:srcRect l="0" t="0" r="0" b="8614"/>
                    <a:stretch/>
                  </pic:blipFill>
                  <pic:spPr>
                    <a:xfrm rot="0">
                      <a:off x="0" y="0"/>
                      <a:ext cx="5731510" cy="3562350"/>
                    </a:xfrm>
                    <a:prstGeom prst="rect"/>
                    <a:ln>
                      <a:noFill/>
                    </a:ln>
                  </pic:spPr>
                </pic:pic>
              </a:graphicData>
            </a:graphic>
          </wp:inline>
        </w:drawing>
      </w:r>
    </w:p>
    <w:p>
      <w:pPr>
        <w:pStyle w:val="style0"/>
        <w:spacing w:after="0" w:lineRule="auto" w:line="360"/>
        <w:ind w:firstLine="720"/>
        <w:jc w:val="both"/>
        <w:rPr>
          <w:rFonts w:ascii="Times New Roman" w:cs="Times New Roman" w:hAnsi="Times New Roman"/>
        </w:rPr>
      </w:pPr>
      <w:r>
        <w:rPr>
          <w:rFonts w:ascii="Times New Roman" w:cs="Times New Roman" w:hAnsi="Times New Roman"/>
        </w:rPr>
        <w:t xml:space="preserve">Figure 2: ROC and Confusion Matrix </w:t>
      </w:r>
      <w:r>
        <w:rPr>
          <w:rFonts w:ascii="Times New Roman" w:cs="Times New Roman" w:hAnsi="Times New Roman"/>
        </w:rPr>
        <w:t>for  RF</w:t>
      </w:r>
      <w:r>
        <w:rPr>
          <w:rFonts w:ascii="Times New Roman" w:cs="Times New Roman" w:hAnsi="Times New Roman"/>
        </w:rPr>
        <w:t xml:space="preserve"> and SVM</w:t>
      </w:r>
    </w:p>
    <w:p>
      <w:pPr>
        <w:pStyle w:val="style0"/>
        <w:spacing w:after="0" w:lineRule="auto" w:line="360"/>
        <w:ind w:firstLine="720"/>
        <w:jc w:val="both"/>
        <w:rPr>
          <w:rFonts w:ascii="Times New Roman" w:cs="Times New Roman" w:hAnsi="Times New Roman"/>
        </w:rPr>
      </w:pPr>
      <w:r>
        <w:rPr>
          <w:rFonts w:ascii="Times New Roman" w:cs="Times New Roman" w:hAnsi="Times New Roman"/>
        </w:rPr>
        <w:t>Source: The Researcher (2026)</w:t>
      </w:r>
    </w:p>
    <w:p>
      <w:pPr>
        <w:pStyle w:val="style0"/>
        <w:spacing w:after="0" w:lineRule="auto" w:line="360"/>
        <w:jc w:val="both"/>
        <w:rPr>
          <w:rFonts w:ascii="Times New Roman" w:cs="Times New Roman" w:hAnsi="Times New Roman"/>
        </w:rPr>
      </w:pPr>
    </w:p>
    <w:p>
      <w:pPr>
        <w:pStyle w:val="style0"/>
        <w:spacing w:after="0" w:lineRule="auto" w:line="360"/>
        <w:jc w:val="both"/>
        <w:rPr>
          <w:rFonts w:ascii="Times New Roman" w:cs="Times New Roman" w:hAnsi="Times New Roman"/>
        </w:rPr>
      </w:pPr>
    </w:p>
    <w:p>
      <w:pPr>
        <w:pStyle w:val="style0"/>
        <w:spacing w:after="0" w:lineRule="auto" w:line="360"/>
        <w:jc w:val="both"/>
        <w:rPr>
          <w:rFonts w:ascii="Times New Roman" w:cs="Times New Roman" w:hAnsi="Times New Roman"/>
          <w:b/>
          <w:bCs/>
        </w:rPr>
      </w:pPr>
      <w:r>
        <w:rPr>
          <w:rFonts w:ascii="Times New Roman" w:cs="Times New Roman" w:hAnsi="Times New Roman"/>
          <w:b/>
          <w:bCs/>
        </w:rPr>
        <w:t>5. Conclusion</w:t>
      </w:r>
    </w:p>
    <w:p>
      <w:pPr>
        <w:pStyle w:val="style0"/>
        <w:spacing w:after="0" w:lineRule="auto" w:line="360"/>
        <w:ind w:firstLine="720"/>
        <w:jc w:val="both"/>
        <w:rPr>
          <w:rFonts w:ascii="Times New Roman" w:cs="Times New Roman" w:hAnsi="Times New Roman"/>
        </w:rPr>
      </w:pPr>
      <w:r>
        <w:rPr>
          <w:rFonts w:ascii="Times New Roman" w:cs="Times New Roman" w:hAnsi="Times New Roman"/>
        </w:rPr>
        <w:t>This study successfully developed and evaluated an intelligent analytic framework designed for</w:t>
      </w:r>
      <w:r>
        <w:rPr>
          <w:rFonts w:ascii="Times New Roman" w:cs="Times New Roman" w:hAnsi="Times New Roman"/>
        </w:rPr>
        <w:t xml:space="preserve"> </w:t>
      </w:r>
      <w:r>
        <w:rPr>
          <w:rFonts w:ascii="Times New Roman" w:cs="Times New Roman" w:hAnsi="Times New Roman"/>
        </w:rPr>
        <w:t>data-driven structural risk classification in aging infrastructure. By framing the monitoring of failure-critical bridge connections as a binary classification problem, multi-sensor streams</w:t>
      </w:r>
      <w:r>
        <w:rPr>
          <w:rFonts w:ascii="Times New Roman" w:cs="Times New Roman" w:hAnsi="Times New Roman"/>
        </w:rPr>
        <w:t xml:space="preserve"> data </w:t>
      </w:r>
      <w:r>
        <w:rPr>
          <w:rFonts w:ascii="Times New Roman" w:cs="Times New Roman" w:hAnsi="Times New Roman"/>
        </w:rPr>
        <w:t>comprising localized micro-strain, acoustic emissions, and triaxial accelerations</w:t>
      </w:r>
      <w:r>
        <w:rPr>
          <w:rFonts w:ascii="Times New Roman" w:cs="Times New Roman" w:hAnsi="Times New Roman"/>
        </w:rPr>
        <w:t xml:space="preserve"> </w:t>
      </w:r>
      <w:r>
        <w:rPr>
          <w:rFonts w:ascii="Times New Roman" w:cs="Times New Roman" w:hAnsi="Times New Roman"/>
        </w:rPr>
        <w:t>were effectively processed and evaluated. In alignment with the core methodology, a parallel implementation strategy was deployed to conduct a direct, head-to-head performance comparison between a bootstrap-aggregated decision-tree structure RF and a maximum-margin vector separator SVM using operational highway bridge datasets.</w:t>
      </w:r>
    </w:p>
    <w:p>
      <w:pPr>
        <w:pStyle w:val="style0"/>
        <w:spacing w:after="0" w:lineRule="auto" w:line="360"/>
        <w:ind w:firstLine="720"/>
        <w:jc w:val="both"/>
        <w:rPr>
          <w:rFonts w:ascii="Times New Roman" w:cs="Times New Roman" w:hAnsi="Times New Roman"/>
        </w:rPr>
      </w:pPr>
      <w:r>
        <w:rPr>
          <w:rFonts w:ascii="Times New Roman" w:cs="Times New Roman" w:hAnsi="Times New Roman"/>
        </w:rPr>
        <w:t>The empirical results demonstrate that while both models offer strong classification capabilities, the RF ensemble model provides a more resilient framework for noisy, real-world engineering environments. The RF model achieved an overall accuracy of 94.6% and a superior recall (sensitivity) of 96.1%, outperforming the Support Vector Machine (SVM) model's recall by 6.9%. In high-stakes civil asset management, maximizing recall is mathematically paramount, as it minimizes false-negative outcomes</w:t>
      </w:r>
      <w:r>
        <w:rPr>
          <w:rFonts w:ascii="Times New Roman" w:cs="Times New Roman" w:hAnsi="Times New Roman"/>
        </w:rPr>
        <w:t xml:space="preserve">, </w:t>
      </w:r>
      <w:r>
        <w:rPr>
          <w:rFonts w:ascii="Times New Roman" w:cs="Times New Roman" w:hAnsi="Times New Roman"/>
        </w:rPr>
        <w:t>effectively ensuring that subtle, sub-surface structural anomalies are captured before they manifest as catastrophic failures. ROC analysis further confirmed the stability of the RF model, yielding a higher Area Under the Curve (AUC) value of 0.972 compared to the SVM's 0.938.</w:t>
      </w:r>
    </w:p>
    <w:p>
      <w:pPr>
        <w:pStyle w:val="style0"/>
        <w:spacing w:after="0" w:lineRule="auto" w:line="360"/>
        <w:ind w:firstLine="720"/>
        <w:jc w:val="both"/>
        <w:rPr>
          <w:rFonts w:ascii="Times New Roman" w:cs="Times New Roman" w:hAnsi="Times New Roman"/>
        </w:rPr>
      </w:pPr>
      <w:r>
        <w:rPr>
          <w:rFonts w:ascii="Times New Roman" w:cs="Times New Roman" w:hAnsi="Times New Roman"/>
        </w:rPr>
        <w:t>The analytical boundaries established in this research confirm that localized feature partitioning via ensemble methods manages chaotic background traffic noise more effectively than the global hyperplane mappings utilized by traditional kernel-based classifiers. Consequently, this parallel framework offers actionable insights for engineers and asset managers seeking to deploy scalable, automated screening systems. Transitioning from reactive maintenance schedules to this intelligent predictive model will allow highway administrators to allocate maintenance resources more efficiently and proactively protect critical transportation infrastructure. Future research will focus on extending this binary paradigm into multi-class degradation frameworks and optimizing the algorithms for deployment on edge-computing microprocessors directly at bridge sites.</w:t>
      </w:r>
    </w:p>
    <w:p>
      <w:pPr>
        <w:pStyle w:val="style0"/>
        <w:jc w:val="both"/>
        <w:rPr>
          <w:rFonts w:ascii="Times New Roman" w:cs="Times New Roman" w:hAnsi="Times New Roman"/>
        </w:rPr>
      </w:pPr>
    </w:p>
    <w:p>
      <w:pPr>
        <w:pStyle w:val="style0"/>
        <w:jc w:val="both"/>
        <w:rPr>
          <w:rFonts w:ascii="Times New Roman" w:cs="Times New Roman" w:hAnsi="Times New Roman"/>
        </w:rPr>
      </w:pPr>
    </w:p>
    <w:p>
      <w:pPr>
        <w:pStyle w:val="style0"/>
        <w:spacing w:after="0"/>
        <w:jc w:val="both"/>
        <w:rPr>
          <w:rFonts w:ascii="Times New Roman" w:cs="Times New Roman" w:hAnsi="Times New Roman"/>
          <w:b/>
          <w:bCs/>
        </w:rPr>
      </w:pPr>
      <w:r>
        <w:rPr>
          <w:rFonts w:ascii="Times New Roman" w:cs="Times New Roman" w:hAnsi="Times New Roman"/>
          <w:b/>
          <w:bCs/>
        </w:rPr>
        <w:t>References</w:t>
      </w:r>
    </w:p>
    <w:p>
      <w:pPr>
        <w:pStyle w:val="style0"/>
        <w:spacing w:after="0"/>
        <w:jc w:val="both"/>
        <w:rPr>
          <w:rFonts w:ascii="Times New Roman" w:cs="Times New Roman" w:hAnsi="Times New Roman"/>
        </w:rPr>
      </w:pPr>
      <w:r>
        <w:rPr>
          <w:rFonts w:ascii="Times New Roman" w:cs="Times New Roman" w:hAnsi="Times New Roman"/>
        </w:rPr>
        <w:t xml:space="preserve">Abiona, Q. O., &amp; Head, M. H. (2025). Determination of bridge elements’ weights using the Random Forest algorithm. </w:t>
      </w:r>
      <w:r>
        <w:rPr>
          <w:rFonts w:ascii="Times New Roman" w:cs="Times New Roman" w:hAnsi="Times New Roman"/>
          <w:i/>
          <w:iCs/>
        </w:rPr>
        <w:t>Journal of Performance of Constructed Facilities</w:t>
      </w:r>
      <w:r>
        <w:rPr>
          <w:rFonts w:ascii="Times New Roman" w:cs="Times New Roman" w:hAnsi="Times New Roman"/>
        </w:rPr>
        <w:t xml:space="preserve">, </w:t>
      </w:r>
      <w:r>
        <w:rPr>
          <w:rFonts w:ascii="Times New Roman" w:cs="Times New Roman" w:hAnsi="Times New Roman"/>
          <w:i/>
          <w:iCs/>
        </w:rPr>
        <w:t>39</w:t>
      </w:r>
      <w:r>
        <w:rPr>
          <w:rFonts w:ascii="Times New Roman" w:cs="Times New Roman" w:hAnsi="Times New Roman"/>
        </w:rPr>
        <w:t xml:space="preserve">(3), Article 04025012. </w:t>
      </w:r>
    </w:p>
    <w:p>
      <w:pPr>
        <w:pStyle w:val="style0"/>
        <w:spacing w:after="0"/>
        <w:jc w:val="both"/>
        <w:rPr>
          <w:rFonts w:ascii="Times New Roman" w:cs="Times New Roman" w:hAnsi="Times New Roman"/>
        </w:rPr>
      </w:pPr>
    </w:p>
    <w:p>
      <w:pPr>
        <w:pStyle w:val="style0"/>
        <w:jc w:val="both"/>
        <w:rPr>
          <w:rFonts w:ascii="Times New Roman" w:cs="Times New Roman" w:hAnsi="Times New Roman"/>
        </w:rPr>
      </w:pPr>
      <w:r>
        <w:rPr>
          <w:rFonts w:ascii="Times New Roman" w:cs="Times New Roman" w:hAnsi="Times New Roman"/>
        </w:rPr>
        <w:t xml:space="preserve">Azimi, M., Eslamlou, A., &amp; </w:t>
      </w:r>
      <w:r>
        <w:rPr>
          <w:rFonts w:ascii="Times New Roman" w:cs="Times New Roman" w:hAnsi="Times New Roman"/>
        </w:rPr>
        <w:t>Pekcan</w:t>
      </w:r>
      <w:r>
        <w:rPr>
          <w:rFonts w:ascii="Times New Roman" w:cs="Times New Roman" w:hAnsi="Times New Roman"/>
        </w:rPr>
        <w:t xml:space="preserve">, G. (2020). Data-driven structural health monitoring and damage detection through deep learning: State-of-the-art review. </w:t>
      </w:r>
      <w:r>
        <w:rPr>
          <w:rFonts w:ascii="Times New Roman" w:cs="Times New Roman" w:hAnsi="Times New Roman"/>
          <w:i/>
          <w:iCs/>
        </w:rPr>
        <w:t>Sensors</w:t>
      </w:r>
      <w:r>
        <w:rPr>
          <w:rFonts w:ascii="Times New Roman" w:cs="Times New Roman" w:hAnsi="Times New Roman"/>
        </w:rPr>
        <w:t xml:space="preserve">, </w:t>
      </w:r>
      <w:r>
        <w:rPr>
          <w:rFonts w:ascii="Times New Roman" w:cs="Times New Roman" w:hAnsi="Times New Roman"/>
          <w:i/>
          <w:iCs/>
        </w:rPr>
        <w:t>20</w:t>
      </w:r>
      <w:r>
        <w:rPr>
          <w:rFonts w:ascii="Times New Roman" w:cs="Times New Roman" w:hAnsi="Times New Roman"/>
        </w:rPr>
        <w:t xml:space="preserve">(10), Article 2778. </w:t>
      </w:r>
    </w:p>
    <w:p>
      <w:pPr>
        <w:pStyle w:val="style0"/>
        <w:jc w:val="both"/>
        <w:rPr>
          <w:rFonts w:ascii="Times New Roman" w:cs="Times New Roman" w:hAnsi="Times New Roman"/>
        </w:rPr>
      </w:pPr>
    </w:p>
    <w:p>
      <w:pPr>
        <w:pStyle w:val="style0"/>
        <w:jc w:val="both"/>
        <w:rPr>
          <w:rFonts w:ascii="Times New Roman" w:cs="Times New Roman" w:hAnsi="Times New Roman"/>
        </w:rPr>
      </w:pPr>
      <w:r>
        <w:rPr>
          <w:rFonts w:ascii="Times New Roman" w:cs="Times New Roman" w:hAnsi="Times New Roman"/>
        </w:rPr>
        <w:t xml:space="preserve">Brownjohn, J. M. W. (2007). Structural health monitoring of civil infrastructure. </w:t>
      </w:r>
      <w:r>
        <w:rPr>
          <w:rFonts w:ascii="Times New Roman" w:cs="Times New Roman" w:hAnsi="Times New Roman"/>
          <w:i/>
          <w:iCs/>
        </w:rPr>
        <w:t>Philosophical Transactions of the Royal Society A: Mathematical, Physical and Engineering Sciences</w:t>
      </w:r>
      <w:r>
        <w:rPr>
          <w:rFonts w:ascii="Times New Roman" w:cs="Times New Roman" w:hAnsi="Times New Roman"/>
        </w:rPr>
        <w:t xml:space="preserve">, </w:t>
      </w:r>
      <w:r>
        <w:rPr>
          <w:rFonts w:ascii="Times New Roman" w:cs="Times New Roman" w:hAnsi="Times New Roman"/>
          <w:i/>
          <w:iCs/>
        </w:rPr>
        <w:t>365</w:t>
      </w:r>
      <w:r>
        <w:rPr>
          <w:rFonts w:ascii="Times New Roman" w:cs="Times New Roman" w:hAnsi="Times New Roman"/>
        </w:rPr>
        <w:t xml:space="preserve">(1851), 589–622. </w:t>
      </w:r>
    </w:p>
    <w:p>
      <w:pPr>
        <w:pStyle w:val="style0"/>
        <w:jc w:val="both"/>
        <w:rPr>
          <w:rFonts w:ascii="Times New Roman" w:cs="Times New Roman" w:hAnsi="Times New Roman"/>
        </w:rPr>
      </w:pPr>
      <w:r>
        <w:rPr>
          <w:rFonts w:ascii="Times New Roman" w:cs="Times New Roman" w:hAnsi="Times New Roman"/>
        </w:rPr>
        <w:t>Catbas</w:t>
      </w:r>
      <w:r>
        <w:rPr>
          <w:rFonts w:ascii="Times New Roman" w:cs="Times New Roman" w:hAnsi="Times New Roman"/>
        </w:rPr>
        <w:t xml:space="preserve">, F. N., </w:t>
      </w:r>
      <w:r>
        <w:rPr>
          <w:rFonts w:ascii="Times New Roman" w:cs="Times New Roman" w:hAnsi="Times New Roman"/>
        </w:rPr>
        <w:t>Susoy</w:t>
      </w:r>
      <w:r>
        <w:rPr>
          <w:rFonts w:ascii="Times New Roman" w:cs="Times New Roman" w:hAnsi="Times New Roman"/>
        </w:rPr>
        <w:t xml:space="preserve">, M., &amp; </w:t>
      </w:r>
      <w:r>
        <w:rPr>
          <w:rFonts w:ascii="Times New Roman" w:cs="Times New Roman" w:hAnsi="Times New Roman"/>
        </w:rPr>
        <w:t>Frangopol</w:t>
      </w:r>
      <w:r>
        <w:rPr>
          <w:rFonts w:ascii="Times New Roman" w:cs="Times New Roman" w:hAnsi="Times New Roman"/>
        </w:rPr>
        <w:t xml:space="preserve">, D. M. (2008). Structural health monitoring, reliability and life-cycle performance of bridges. </w:t>
      </w:r>
      <w:r>
        <w:rPr>
          <w:rFonts w:ascii="Times New Roman" w:cs="Times New Roman" w:hAnsi="Times New Roman"/>
          <w:i/>
          <w:iCs/>
        </w:rPr>
        <w:t>Structure and Infrastructure Engineering</w:t>
      </w:r>
      <w:r>
        <w:rPr>
          <w:rFonts w:ascii="Times New Roman" w:cs="Times New Roman" w:hAnsi="Times New Roman"/>
        </w:rPr>
        <w:t xml:space="preserve">, </w:t>
      </w:r>
      <w:r>
        <w:rPr>
          <w:rFonts w:ascii="Times New Roman" w:cs="Times New Roman" w:hAnsi="Times New Roman"/>
          <w:i/>
          <w:iCs/>
        </w:rPr>
        <w:t>4</w:t>
      </w:r>
      <w:r>
        <w:rPr>
          <w:rFonts w:ascii="Times New Roman" w:cs="Times New Roman" w:hAnsi="Times New Roman"/>
        </w:rPr>
        <w:t xml:space="preserve">(2), 119–137. </w:t>
      </w:r>
    </w:p>
    <w:p>
      <w:pPr>
        <w:pStyle w:val="style0"/>
        <w:jc w:val="both"/>
        <w:rPr>
          <w:rFonts w:ascii="Times New Roman" w:cs="Times New Roman" w:hAnsi="Times New Roman"/>
        </w:rPr>
      </w:pPr>
      <w:r>
        <w:rPr>
          <w:rFonts w:ascii="Times New Roman" w:cs="Times New Roman" w:hAnsi="Times New Roman"/>
        </w:rPr>
        <w:t>Doroudi</w:t>
      </w:r>
      <w:r>
        <w:rPr>
          <w:rFonts w:ascii="Times New Roman" w:cs="Times New Roman" w:hAnsi="Times New Roman"/>
        </w:rPr>
        <w:t xml:space="preserve">, R. (2026). Enhancing structural health monitoring of super-tall buildings using Support Vector Machines, MEMD, and Wavelet Transform. </w:t>
      </w:r>
      <w:r>
        <w:rPr>
          <w:rFonts w:ascii="Times New Roman" w:cs="Times New Roman" w:hAnsi="Times New Roman"/>
          <w:i/>
          <w:iCs/>
        </w:rPr>
        <w:t>Journal of Soft Computing in Civil Engineering</w:t>
      </w:r>
      <w:r>
        <w:rPr>
          <w:rFonts w:ascii="Times New Roman" w:cs="Times New Roman" w:hAnsi="Times New Roman"/>
        </w:rPr>
        <w:t xml:space="preserve">, </w:t>
      </w:r>
      <w:r>
        <w:rPr>
          <w:rFonts w:ascii="Times New Roman" w:cs="Times New Roman" w:hAnsi="Times New Roman"/>
          <w:i/>
          <w:iCs/>
        </w:rPr>
        <w:t>10</w:t>
      </w:r>
      <w:r>
        <w:rPr>
          <w:rFonts w:ascii="Times New Roman" w:cs="Times New Roman" w:hAnsi="Times New Roman"/>
        </w:rPr>
        <w:t xml:space="preserve">(2), 45–62. </w:t>
      </w:r>
    </w:p>
    <w:p>
      <w:pPr>
        <w:pStyle w:val="style0"/>
        <w:jc w:val="both"/>
        <w:rPr>
          <w:rFonts w:ascii="Times New Roman" w:cs="Times New Roman" w:hAnsi="Times New Roman"/>
        </w:rPr>
      </w:pPr>
      <w:r>
        <w:rPr>
          <w:rFonts w:ascii="Times New Roman" w:cs="Times New Roman" w:hAnsi="Times New Roman"/>
        </w:rPr>
        <w:t xml:space="preserve">Farrar, C. R., &amp; Worden, K. (2012). </w:t>
      </w:r>
      <w:r>
        <w:rPr>
          <w:rFonts w:ascii="Times New Roman" w:cs="Times New Roman" w:hAnsi="Times New Roman"/>
          <w:i/>
          <w:iCs/>
        </w:rPr>
        <w:t>Structural health monitoring: A machine learning perspective</w:t>
      </w:r>
      <w:r>
        <w:rPr>
          <w:rFonts w:ascii="Times New Roman" w:cs="Times New Roman" w:hAnsi="Times New Roman"/>
        </w:rPr>
        <w:t xml:space="preserve">. John Wiley &amp; Sons. </w:t>
      </w:r>
    </w:p>
    <w:p>
      <w:pPr>
        <w:pStyle w:val="style0"/>
        <w:jc w:val="both"/>
        <w:rPr>
          <w:rFonts w:ascii="Times New Roman" w:cs="Times New Roman" w:hAnsi="Times New Roman"/>
        </w:rPr>
      </w:pPr>
      <w:r>
        <w:rPr>
          <w:rFonts w:ascii="Times New Roman" w:cs="Times New Roman" w:hAnsi="Times New Roman"/>
        </w:rPr>
        <w:t xml:space="preserve">Feng, D., &amp; </w:t>
      </w:r>
      <w:r>
        <w:rPr>
          <w:rFonts w:ascii="Times New Roman" w:cs="Times New Roman" w:hAnsi="Times New Roman"/>
        </w:rPr>
        <w:t>Catbas</w:t>
      </w:r>
      <w:r>
        <w:rPr>
          <w:rFonts w:ascii="Times New Roman" w:cs="Times New Roman" w:hAnsi="Times New Roman"/>
        </w:rPr>
        <w:t xml:space="preserve">, F. N. (2020). A review of machine learning applications in structural health monitoring. </w:t>
      </w:r>
      <w:r>
        <w:rPr>
          <w:rFonts w:ascii="Times New Roman" w:cs="Times New Roman" w:hAnsi="Times New Roman"/>
          <w:i/>
          <w:iCs/>
        </w:rPr>
        <w:t>Structural Control and Health Monitoring</w:t>
      </w:r>
      <w:r>
        <w:rPr>
          <w:rFonts w:ascii="Times New Roman" w:cs="Times New Roman" w:hAnsi="Times New Roman"/>
        </w:rPr>
        <w:t xml:space="preserve">, </w:t>
      </w:r>
      <w:r>
        <w:rPr>
          <w:rFonts w:ascii="Times New Roman" w:cs="Times New Roman" w:hAnsi="Times New Roman"/>
          <w:i/>
          <w:iCs/>
        </w:rPr>
        <w:t>27</w:t>
      </w:r>
      <w:r>
        <w:rPr>
          <w:rFonts w:ascii="Times New Roman" w:cs="Times New Roman" w:hAnsi="Times New Roman"/>
        </w:rPr>
        <w:t xml:space="preserve">(10), Article e2583. </w:t>
      </w:r>
    </w:p>
    <w:p>
      <w:pPr>
        <w:pStyle w:val="style0"/>
        <w:jc w:val="both"/>
        <w:rPr>
          <w:rFonts w:ascii="Times New Roman" w:cs="Times New Roman" w:hAnsi="Times New Roman"/>
        </w:rPr>
      </w:pPr>
      <w:r>
        <w:rPr>
          <w:rFonts w:ascii="Times New Roman" w:cs="Times New Roman" w:hAnsi="Times New Roman"/>
        </w:rPr>
        <w:t xml:space="preserve">Fitriyah, D. K., Irawan, D., Suswanto, B., &amp; </w:t>
      </w:r>
      <w:r>
        <w:rPr>
          <w:rFonts w:ascii="Times New Roman" w:cs="Times New Roman" w:hAnsi="Times New Roman"/>
        </w:rPr>
        <w:t>Habieb</w:t>
      </w:r>
      <w:r>
        <w:rPr>
          <w:rFonts w:ascii="Times New Roman" w:cs="Times New Roman" w:hAnsi="Times New Roman"/>
        </w:rPr>
        <w:t xml:space="preserve">, A. B. (2023). Structural damage identification methods in truss bridge structures using vibration analysis: A review. </w:t>
      </w:r>
      <w:r>
        <w:rPr>
          <w:rFonts w:ascii="Times New Roman" w:cs="Times New Roman" w:hAnsi="Times New Roman"/>
          <w:i/>
          <w:iCs/>
        </w:rPr>
        <w:t>E3S Web of Conferences</w:t>
      </w:r>
      <w:r>
        <w:rPr>
          <w:rFonts w:ascii="Times New Roman" w:cs="Times New Roman" w:hAnsi="Times New Roman"/>
        </w:rPr>
        <w:t xml:space="preserve">, </w:t>
      </w:r>
      <w:r>
        <w:rPr>
          <w:rFonts w:ascii="Times New Roman" w:cs="Times New Roman" w:hAnsi="Times New Roman"/>
          <w:i/>
          <w:iCs/>
        </w:rPr>
        <w:t>434</w:t>
      </w:r>
      <w:r>
        <w:rPr>
          <w:rFonts w:ascii="Times New Roman" w:cs="Times New Roman" w:hAnsi="Times New Roman"/>
        </w:rPr>
        <w:t xml:space="preserve">, Article 02020. </w:t>
      </w:r>
    </w:p>
    <w:p>
      <w:pPr>
        <w:pStyle w:val="style0"/>
        <w:jc w:val="both"/>
        <w:rPr>
          <w:rFonts w:ascii="Times New Roman" w:cs="Times New Roman" w:hAnsi="Times New Roman"/>
        </w:rPr>
      </w:pPr>
      <w:r>
        <w:rPr>
          <w:rFonts w:ascii="Times New Roman" w:cs="Times New Roman" w:hAnsi="Times New Roman"/>
        </w:rPr>
        <w:t xml:space="preserve">Higgins, C. (2011). </w:t>
      </w:r>
      <w:r>
        <w:rPr>
          <w:rFonts w:ascii="Times New Roman" w:cs="Times New Roman" w:hAnsi="Times New Roman"/>
          <w:i/>
          <w:iCs/>
        </w:rPr>
        <w:t>Image processing, analysis, and management tools for gusset plate connections in steel truss bridges</w:t>
      </w:r>
      <w:r>
        <w:rPr>
          <w:rFonts w:ascii="Times New Roman" w:cs="Times New Roman" w:hAnsi="Times New Roman"/>
        </w:rPr>
        <w:t xml:space="preserve"> (Final Report No. FHWA-OR-RD-11-13). Oregon Department of Transportation.</w:t>
      </w:r>
    </w:p>
    <w:p>
      <w:pPr>
        <w:pStyle w:val="style0"/>
        <w:jc w:val="both"/>
        <w:rPr>
          <w:rFonts w:ascii="Times New Roman" w:cs="Times New Roman" w:hAnsi="Times New Roman"/>
        </w:rPr>
      </w:pPr>
      <w:r>
        <w:rPr>
          <w:rFonts w:ascii="Times New Roman" w:cs="Times New Roman" w:hAnsi="Times New Roman"/>
        </w:rPr>
        <w:t xml:space="preserve">Islam, M. M. (2025). Machine learning-based predictive </w:t>
      </w:r>
      <w:r>
        <w:rPr>
          <w:rFonts w:ascii="Times New Roman" w:cs="Times New Roman" w:hAnsi="Times New Roman"/>
        </w:rPr>
        <w:t>modeling</w:t>
      </w:r>
      <w:r>
        <w:rPr>
          <w:rFonts w:ascii="Times New Roman" w:cs="Times New Roman" w:hAnsi="Times New Roman"/>
        </w:rPr>
        <w:t xml:space="preserve"> for assessing bridge load capacity using real-time sensor data. </w:t>
      </w:r>
      <w:r>
        <w:rPr>
          <w:rFonts w:ascii="Times New Roman" w:cs="Times New Roman" w:hAnsi="Times New Roman"/>
          <w:i/>
          <w:iCs/>
        </w:rPr>
        <w:t>Journal of Sustainable Development and Infrastructure Policy</w:t>
      </w:r>
      <w:r>
        <w:rPr>
          <w:rFonts w:ascii="Times New Roman" w:cs="Times New Roman" w:hAnsi="Times New Roman"/>
        </w:rPr>
        <w:t xml:space="preserve">, </w:t>
      </w:r>
      <w:r>
        <w:rPr>
          <w:rFonts w:ascii="Times New Roman" w:cs="Times New Roman" w:hAnsi="Times New Roman"/>
          <w:i/>
          <w:iCs/>
        </w:rPr>
        <w:t>16</w:t>
      </w:r>
      <w:r>
        <w:rPr>
          <w:rFonts w:ascii="Times New Roman" w:cs="Times New Roman" w:hAnsi="Times New Roman"/>
        </w:rPr>
        <w:t>(1), 12–29.</w:t>
      </w:r>
    </w:p>
    <w:p>
      <w:pPr>
        <w:pStyle w:val="style0"/>
        <w:jc w:val="both"/>
        <w:rPr>
          <w:rFonts w:ascii="Times New Roman" w:cs="Times New Roman" w:hAnsi="Times New Roman"/>
        </w:rPr>
      </w:pPr>
      <w:r>
        <w:rPr>
          <w:rFonts w:ascii="Times New Roman" w:cs="Times New Roman" w:hAnsi="Times New Roman"/>
        </w:rPr>
        <w:t xml:space="preserve">Li, X. (2022). Unsupervised anomaly detection networks with novel mechanics-based loss functions for structural system components. </w:t>
      </w:r>
      <w:r>
        <w:rPr>
          <w:rFonts w:ascii="Times New Roman" w:cs="Times New Roman" w:hAnsi="Times New Roman"/>
          <w:i/>
          <w:iCs/>
        </w:rPr>
        <w:t>Proceedings of the ASME 2022 Conference on Smart Materials, Adaptive Structures and Intelligent Systems</w:t>
      </w:r>
      <w:r>
        <w:rPr>
          <w:rFonts w:ascii="Times New Roman" w:cs="Times New Roman" w:hAnsi="Times New Roman"/>
        </w:rPr>
        <w:t xml:space="preserve">. Smart Materials, Adaptive Structures and Intelligent Systems, Dearborn, MI, United States. </w:t>
      </w:r>
    </w:p>
    <w:p>
      <w:pPr>
        <w:pStyle w:val="style0"/>
        <w:jc w:val="both"/>
        <w:rPr>
          <w:rFonts w:ascii="Times New Roman" w:cs="Times New Roman" w:hAnsi="Times New Roman"/>
        </w:rPr>
      </w:pPr>
      <w:r>
        <w:rPr>
          <w:rFonts w:ascii="Times New Roman" w:cs="Times New Roman" w:hAnsi="Times New Roman"/>
        </w:rPr>
        <w:t xml:space="preserve">Naser, M. Z. (2022). Machine learning in civil engineering: A review of fundamentals and applications. </w:t>
      </w:r>
      <w:r>
        <w:rPr>
          <w:rFonts w:ascii="Times New Roman" w:cs="Times New Roman" w:hAnsi="Times New Roman"/>
          <w:i/>
          <w:iCs/>
        </w:rPr>
        <w:t>Automation in Construction</w:t>
      </w:r>
      <w:r>
        <w:rPr>
          <w:rFonts w:ascii="Times New Roman" w:cs="Times New Roman" w:hAnsi="Times New Roman"/>
        </w:rPr>
        <w:t xml:space="preserve">, </w:t>
      </w:r>
      <w:r>
        <w:rPr>
          <w:rFonts w:ascii="Times New Roman" w:cs="Times New Roman" w:hAnsi="Times New Roman"/>
          <w:i/>
          <w:iCs/>
        </w:rPr>
        <w:t>143</w:t>
      </w:r>
      <w:r>
        <w:rPr>
          <w:rFonts w:ascii="Times New Roman" w:cs="Times New Roman" w:hAnsi="Times New Roman"/>
        </w:rPr>
        <w:t xml:space="preserve">, Article 104547. </w:t>
      </w:r>
    </w:p>
    <w:p>
      <w:pPr>
        <w:pStyle w:val="style0"/>
        <w:jc w:val="both"/>
        <w:rPr>
          <w:rFonts w:ascii="Times New Roman" w:cs="Times New Roman" w:hAnsi="Times New Roman"/>
        </w:rPr>
      </w:pPr>
      <w:r>
        <w:rPr>
          <w:rFonts w:ascii="Times New Roman" w:cs="Times New Roman" w:hAnsi="Times New Roman"/>
        </w:rPr>
        <w:t xml:space="preserve">National Transportation Safety Board. (2008). </w:t>
      </w:r>
      <w:r>
        <w:rPr>
          <w:rFonts w:ascii="Times New Roman" w:cs="Times New Roman" w:hAnsi="Times New Roman"/>
          <w:i/>
          <w:iCs/>
        </w:rPr>
        <w:t>Collapse of I-35W highway bridge, Minneapolis, Minnesota, August 1, 2007</w:t>
      </w:r>
      <w:r>
        <w:rPr>
          <w:rFonts w:ascii="Times New Roman" w:cs="Times New Roman" w:hAnsi="Times New Roman"/>
        </w:rPr>
        <w:t xml:space="preserve"> (Accident Report NTSB/HAR-08/03). Washington, DC.</w:t>
      </w:r>
    </w:p>
    <w:p>
      <w:pPr>
        <w:pStyle w:val="style0"/>
        <w:jc w:val="both"/>
        <w:rPr>
          <w:rFonts w:ascii="Times New Roman" w:cs="Times New Roman" w:hAnsi="Times New Roman"/>
        </w:rPr>
      </w:pPr>
      <w:r>
        <w:rPr>
          <w:rFonts w:ascii="Times New Roman" w:cs="Times New Roman" w:hAnsi="Times New Roman"/>
        </w:rPr>
        <w:t xml:space="preserve">Sohn, H. (2007). Effects of environmental and operational variability on structural health monitoring. </w:t>
      </w:r>
      <w:r>
        <w:rPr>
          <w:rFonts w:ascii="Times New Roman" w:cs="Times New Roman" w:hAnsi="Times New Roman"/>
          <w:i/>
          <w:iCs/>
        </w:rPr>
        <w:t>Philosophical Transactions of the Royal Society A: Mathematical, Physical and Engineering Sciences</w:t>
      </w:r>
      <w:r>
        <w:rPr>
          <w:rFonts w:ascii="Times New Roman" w:cs="Times New Roman" w:hAnsi="Times New Roman"/>
        </w:rPr>
        <w:t xml:space="preserve">, </w:t>
      </w:r>
      <w:r>
        <w:rPr>
          <w:rFonts w:ascii="Times New Roman" w:cs="Times New Roman" w:hAnsi="Times New Roman"/>
          <w:i/>
          <w:iCs/>
        </w:rPr>
        <w:t>365</w:t>
      </w:r>
      <w:r>
        <w:rPr>
          <w:rFonts w:ascii="Times New Roman" w:cs="Times New Roman" w:hAnsi="Times New Roman"/>
        </w:rPr>
        <w:t xml:space="preserve">(1851), 539–560. </w:t>
      </w:r>
    </w:p>
    <w:p>
      <w:pPr>
        <w:pStyle w:val="style0"/>
        <w:jc w:val="both"/>
        <w:rPr>
          <w:rFonts w:ascii="Times New Roman" w:cs="Times New Roman" w:hAnsi="Times New Roman"/>
        </w:rPr>
      </w:pPr>
      <w:r>
        <w:rPr>
          <w:rFonts w:ascii="Times New Roman" w:cs="Times New Roman" w:hAnsi="Times New Roman"/>
        </w:rPr>
        <w:t xml:space="preserve">Soltani, E., Ahmadi, E., </w:t>
      </w:r>
      <w:r>
        <w:rPr>
          <w:rFonts w:ascii="Times New Roman" w:cs="Times New Roman" w:hAnsi="Times New Roman"/>
        </w:rPr>
        <w:t>Gueniat</w:t>
      </w:r>
      <w:r>
        <w:rPr>
          <w:rFonts w:ascii="Times New Roman" w:cs="Times New Roman" w:hAnsi="Times New Roman"/>
        </w:rPr>
        <w:t xml:space="preserve">, F., &amp; Salami, M. R. (2025). A review of bridge health monitoring based on machine learning. </w:t>
      </w:r>
      <w:r>
        <w:rPr>
          <w:rFonts w:ascii="Times New Roman" w:cs="Times New Roman" w:hAnsi="Times New Roman"/>
          <w:i/>
          <w:iCs/>
        </w:rPr>
        <w:t>Proceedings of the Institution of Civil Engineers - Bridge Engineering</w:t>
      </w:r>
      <w:r>
        <w:rPr>
          <w:rFonts w:ascii="Times New Roman" w:cs="Times New Roman" w:hAnsi="Times New Roman"/>
        </w:rPr>
        <w:t xml:space="preserve">, </w:t>
      </w:r>
      <w:r>
        <w:rPr>
          <w:rFonts w:ascii="Times New Roman" w:cs="Times New Roman" w:hAnsi="Times New Roman"/>
          <w:i/>
          <w:iCs/>
        </w:rPr>
        <w:t>178</w:t>
      </w:r>
      <w:r>
        <w:rPr>
          <w:rFonts w:ascii="Times New Roman" w:cs="Times New Roman" w:hAnsi="Times New Roman"/>
        </w:rPr>
        <w:t xml:space="preserve">(2), 84–94. </w:t>
      </w:r>
    </w:p>
    <w:p>
      <w:pPr>
        <w:pStyle w:val="style0"/>
        <w:jc w:val="both"/>
        <w:rPr>
          <w:rFonts w:ascii="Times New Roman" w:cs="Times New Roman" w:hAnsi="Times New Roman"/>
        </w:rPr>
      </w:pPr>
      <w:r>
        <w:rPr>
          <w:rFonts w:ascii="Times New Roman" w:cs="Times New Roman" w:hAnsi="Times New Roman"/>
        </w:rPr>
        <w:t>Sonbul</w:t>
      </w:r>
      <w:r>
        <w:rPr>
          <w:rFonts w:ascii="Times New Roman" w:cs="Times New Roman" w:hAnsi="Times New Roman"/>
        </w:rPr>
        <w:t xml:space="preserve">, O. S., &amp; Rashid, M. (2023). Algorithms and techniques for the structural health monitoring of bridges: Systematic literature review. </w:t>
      </w:r>
      <w:r>
        <w:rPr>
          <w:rFonts w:ascii="Times New Roman" w:cs="Times New Roman" w:hAnsi="Times New Roman"/>
          <w:i/>
          <w:iCs/>
        </w:rPr>
        <w:t>Sensors</w:t>
      </w:r>
      <w:r>
        <w:rPr>
          <w:rFonts w:ascii="Times New Roman" w:cs="Times New Roman" w:hAnsi="Times New Roman"/>
        </w:rPr>
        <w:t xml:space="preserve">, </w:t>
      </w:r>
      <w:r>
        <w:rPr>
          <w:rFonts w:ascii="Times New Roman" w:cs="Times New Roman" w:hAnsi="Times New Roman"/>
          <w:i/>
          <w:iCs/>
        </w:rPr>
        <w:t>23</w:t>
      </w:r>
      <w:r>
        <w:rPr>
          <w:rFonts w:ascii="Times New Roman" w:cs="Times New Roman" w:hAnsi="Times New Roman"/>
        </w:rPr>
        <w:t xml:space="preserve">(9), Article 4230. </w:t>
      </w:r>
    </w:p>
    <w:p>
      <w:pPr>
        <w:pStyle w:val="style0"/>
        <w:jc w:val="both"/>
        <w:rPr>
          <w:rFonts w:ascii="Times New Roman" w:cs="Times New Roman" w:hAnsi="Times New Roman"/>
        </w:rPr>
      </w:pPr>
      <w:r>
        <w:rPr>
          <w:rFonts w:ascii="Times New Roman" w:cs="Times New Roman" w:hAnsi="Times New Roman"/>
        </w:rPr>
        <w:t xml:space="preserve">Svendsen, B. T., Petersen, Ø. W., Frøseth, G. T., &amp; </w:t>
      </w:r>
      <w:r>
        <w:rPr>
          <w:rFonts w:ascii="Times New Roman" w:cs="Times New Roman" w:hAnsi="Times New Roman"/>
        </w:rPr>
        <w:t>Rønnquist</w:t>
      </w:r>
      <w:r>
        <w:rPr>
          <w:rFonts w:ascii="Times New Roman" w:cs="Times New Roman" w:hAnsi="Times New Roman"/>
        </w:rPr>
        <w:t xml:space="preserve">, A. (2021). Improved finite element model updating of a full-scale steel bridge using sensitivity analysis. </w:t>
      </w:r>
      <w:r>
        <w:rPr>
          <w:rFonts w:ascii="Times New Roman" w:cs="Times New Roman" w:hAnsi="Times New Roman"/>
          <w:i/>
          <w:iCs/>
        </w:rPr>
        <w:t>Structure and Infrastructure Engineering</w:t>
      </w:r>
      <w:r>
        <w:rPr>
          <w:rFonts w:ascii="Times New Roman" w:cs="Times New Roman" w:hAnsi="Times New Roman"/>
        </w:rPr>
        <w:t xml:space="preserve">, </w:t>
      </w:r>
      <w:r>
        <w:rPr>
          <w:rFonts w:ascii="Times New Roman" w:cs="Times New Roman" w:hAnsi="Times New Roman"/>
          <w:i/>
          <w:iCs/>
        </w:rPr>
        <w:t>19</w:t>
      </w:r>
      <w:r>
        <w:rPr>
          <w:rFonts w:ascii="Times New Roman" w:cs="Times New Roman" w:hAnsi="Times New Roman"/>
        </w:rPr>
        <w:t xml:space="preserve">(3), 315–331. </w:t>
      </w:r>
    </w:p>
    <w:p>
      <w:pPr>
        <w:pStyle w:val="style0"/>
        <w:jc w:val="both"/>
        <w:rPr>
          <w:rFonts w:ascii="Times New Roman" w:cs="Times New Roman" w:hAnsi="Times New Roman"/>
        </w:rPr>
      </w:pPr>
      <w:r>
        <w:rPr>
          <w:rFonts w:ascii="Times New Roman" w:cs="Times New Roman" w:hAnsi="Times New Roman"/>
        </w:rPr>
        <w:t xml:space="preserve">Worden, K., &amp; Farrar, C. R. (2007). An introduction to structural health monitoring. </w:t>
      </w:r>
      <w:r>
        <w:rPr>
          <w:rFonts w:ascii="Times New Roman" w:cs="Times New Roman" w:hAnsi="Times New Roman"/>
          <w:i/>
          <w:iCs/>
        </w:rPr>
        <w:t>Philosophical Transactions of the Royal Society A: Mathematical, Physical and Engineering Sciences</w:t>
      </w:r>
      <w:r>
        <w:rPr>
          <w:rFonts w:ascii="Times New Roman" w:cs="Times New Roman" w:hAnsi="Times New Roman"/>
        </w:rPr>
        <w:t xml:space="preserve">, </w:t>
      </w:r>
      <w:r>
        <w:rPr>
          <w:rFonts w:ascii="Times New Roman" w:cs="Times New Roman" w:hAnsi="Times New Roman"/>
          <w:i/>
          <w:iCs/>
        </w:rPr>
        <w:t>365</w:t>
      </w:r>
      <w:r>
        <w:rPr>
          <w:rFonts w:ascii="Times New Roman" w:cs="Times New Roman" w:hAnsi="Times New Roman"/>
        </w:rPr>
        <w:t xml:space="preserve">(1851), 421–449. </w:t>
      </w:r>
    </w:p>
    <w:p>
      <w:pPr>
        <w:pStyle w:val="style0"/>
        <w:jc w:val="both"/>
        <w:rPr>
          <w:rFonts w:ascii="Times New Roman" w:cs="Times New Roman" w:hAnsi="Times New Roman"/>
        </w:rPr>
      </w:pPr>
      <w:r>
        <w:rPr>
          <w:rFonts w:ascii="Times New Roman" w:cs="Times New Roman" w:hAnsi="Times New Roman"/>
        </w:rPr>
        <w:t xml:space="preserve">Yan, Y. J., Cheng, L., Wu, Z. Y., &amp; Yam, L. H. (2007). Development in vibration-based structural damage detection technique. </w:t>
      </w:r>
      <w:r>
        <w:rPr>
          <w:rFonts w:ascii="Times New Roman" w:cs="Times New Roman" w:hAnsi="Times New Roman"/>
          <w:i/>
          <w:iCs/>
        </w:rPr>
        <w:t>Mechanical Systems and Signal Processing</w:t>
      </w:r>
      <w:r>
        <w:rPr>
          <w:rFonts w:ascii="Times New Roman" w:cs="Times New Roman" w:hAnsi="Times New Roman"/>
        </w:rPr>
        <w:t xml:space="preserve">, </w:t>
      </w:r>
      <w:r>
        <w:rPr>
          <w:rFonts w:ascii="Times New Roman" w:cs="Times New Roman" w:hAnsi="Times New Roman"/>
          <w:i/>
          <w:iCs/>
        </w:rPr>
        <w:t>21</w:t>
      </w:r>
      <w:r>
        <w:rPr>
          <w:rFonts w:ascii="Times New Roman" w:cs="Times New Roman" w:hAnsi="Times New Roman"/>
        </w:rPr>
        <w:t xml:space="preserve">(5), 2198–2211. </w:t>
      </w:r>
    </w:p>
    <w:p>
      <w:pPr>
        <w:pStyle w:val="style0"/>
        <w:jc w:val="both"/>
        <w:rPr>
          <w:rFonts w:ascii="Times New Roman" w:cs="Times New Roman" w:hAnsi="Times New Roman"/>
        </w:rPr>
      </w:pPr>
      <w:r>
        <w:rPr>
          <w:rFonts w:ascii="Times New Roman" w:cs="Times New Roman" w:hAnsi="Times New Roman"/>
        </w:rPr>
        <w:t xml:space="preserve">Yin, T., Lam, H. F., &amp; Chow, H. M. (2019). A comparative study on different machine learning algorithms for structural damage detection using vibration data. </w:t>
      </w:r>
      <w:r>
        <w:rPr>
          <w:rFonts w:ascii="Times New Roman" w:cs="Times New Roman" w:hAnsi="Times New Roman"/>
          <w:i/>
          <w:iCs/>
        </w:rPr>
        <w:t>Engineering Structures</w:t>
      </w:r>
      <w:r>
        <w:rPr>
          <w:rFonts w:ascii="Times New Roman" w:cs="Times New Roman" w:hAnsi="Times New Roman"/>
        </w:rPr>
        <w:t xml:space="preserve">, </w:t>
      </w:r>
      <w:r>
        <w:rPr>
          <w:rFonts w:ascii="Times New Roman" w:cs="Times New Roman" w:hAnsi="Times New Roman"/>
          <w:i/>
          <w:iCs/>
        </w:rPr>
        <w:t>179</w:t>
      </w:r>
      <w:r>
        <w:rPr>
          <w:rFonts w:ascii="Times New Roman" w:cs="Times New Roman" w:hAnsi="Times New Roman"/>
        </w:rPr>
        <w:t xml:space="preserve">, 515–525. </w:t>
      </w:r>
    </w:p>
    <w:p>
      <w:pPr>
        <w:pStyle w:val="style0"/>
        <w:jc w:val="both"/>
        <w:rPr>
          <w:rFonts w:ascii="Times New Roman" w:cs="Times New Roman" w:hAnsi="Times New Roman"/>
        </w:rPr>
      </w:pPr>
    </w:p>
    <w:p>
      <w:pPr>
        <w:pStyle w:val="style0"/>
        <w:ind w:firstLine="720"/>
        <w:jc w:val="both"/>
        <w:rPr>
          <w:rFonts w:ascii="Times New Roman" w:cs="Times New Roman" w:hAnsi="Times New Roman"/>
        </w:rPr>
      </w:pPr>
    </w:p>
    <w:p>
      <w:pPr>
        <w:pStyle w:val="style0"/>
        <w:ind w:firstLine="720"/>
        <w:jc w:val="both"/>
        <w:rPr>
          <w:rFonts w:ascii="Times New Roman" w:cs="Times New Roman" w:hAnsi="Times New Roman"/>
        </w:rPr>
      </w:pPr>
    </w:p>
    <w:sectPr>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0020507"/>
    <w:charset w:val="02"/>
    <w:family w:val="roman"/>
    <w:pitch w:val="variable"/>
    <w:sig w:usb0="00000000" w:usb1="10000000" w:usb2="00000000" w:usb3="00000000" w:csb0="80000000" w:csb1="00000000"/>
  </w:font>
  <w:font w:name="Times New Roman">
    <w:altName w:val="Times New Roman"/>
    <w:panose1 w:val="02020603050000020304"/>
    <w:charset w:val="00"/>
    <w:family w:val="roman"/>
    <w:pitch w:val="variable"/>
    <w:sig w:usb0="E0002EFF" w:usb1="C000785B" w:usb2="00000009" w:usb3="00000000" w:csb0="000001FF" w:csb1="00000000"/>
  </w:font>
  <w:font w:name="Courier New">
    <w:altName w:val="Courier New"/>
    <w:panose1 w:val="02070309020000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0030204"/>
    <w:charset w:val="00"/>
    <w:family w:val="swiss"/>
    <w:pitch w:val="variable"/>
    <w:sig w:usb0="E4002EFF" w:usb1="C000247B" w:usb2="00000009" w:usb3="00000000" w:csb0="000001FF" w:csb1="00000000"/>
  </w:font>
  <w:font w:name="Calibri Light">
    <w:altName w:val="Calibri Light"/>
    <w:panose1 w:val="020f0302020000030204"/>
    <w:charset w:val="00"/>
    <w:family w:val="swiss"/>
    <w:pitch w:val="variable"/>
    <w:sig w:usb0="E4002EFF" w:usb1="C000247B" w:usb2="00000009" w:usb3="00000000" w:csb0="000001FF" w:csb1="00000000"/>
  </w:font>
  <w:font w:name="Arial">
    <w:altName w:val="Arial"/>
    <w:panose1 w:val="020b0604020000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4B987FDA"/>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1">
    <w:nsid w:val="00000001"/>
    <w:multiLevelType w:val="multilevel"/>
    <w:tmpl w:val="D6204006"/>
    <w:lvl w:ilvl="0">
      <w:start w:val="1"/>
      <w:numFmt w:val="lowerLetter"/>
      <w:lvlText w:val="%1."/>
      <w:lvlJc w:val="left"/>
      <w:pPr>
        <w:tabs>
          <w:tab w:val="left" w:leader="none" w:pos="720"/>
        </w:tabs>
        <w:ind w:left="720" w:hanging="360"/>
      </w:pPr>
      <w:rPr>
        <w:rFonts w:ascii="Times New Roman" w:cs="Times New Roman" w:eastAsia="Calibri" w:hAnsi="Times New Roman"/>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2">
    <w:nsid w:val="00000002"/>
    <w:multiLevelType w:val="multilevel"/>
    <w:tmpl w:val="1A9AE418"/>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3">
    <w:nsid w:val="00000003"/>
    <w:multiLevelType w:val="multilevel"/>
    <w:tmpl w:val="E6B4048A"/>
    <w:lvl w:ilvl="0">
      <w:start w:val="1"/>
      <w:numFmt w:val="lowerRoman"/>
      <w:lvlText w:val="%1."/>
      <w:lvlJc w:val="left"/>
      <w:pPr>
        <w:tabs>
          <w:tab w:val="left" w:leader="none" w:pos="720"/>
        </w:tabs>
        <w:ind w:left="720" w:hanging="360"/>
      </w:pPr>
      <w:rPr>
        <w:rFonts w:ascii="Times New Roman" w:cs="Times New Roman" w:eastAsia="Calibri" w:hAnsi="Times New Roman"/>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num w:numId="1">
    <w:abstractNumId w:val="3"/>
  </w:num>
  <w:num w:numId="2">
    <w:abstractNumId w:val="2"/>
  </w:num>
  <w:num w:numId="3">
    <w:abstractNumId w:val="0"/>
  </w:num>
  <w:num w:numId="4">
    <w:abstractNumId w:val="1"/>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kern w:val="2"/>
        <w:sz w:val="22"/>
        <w:szCs w:val="22"/>
        <w:lang w:val="en-GB" w:bidi="ar-SA" w:eastAsia="en-US"/>
        <w14:ligatures xmlns:w14="http://schemas.microsoft.com/office/word/2010/wordml" w14:val="standardContextual"/>
      </w:rPr>
    </w:rPrDefault>
    <w:pPrDefault>
      <w:pPr>
        <w:spacing w:after="160" w:lineRule="auto" w:line="259"/>
      </w:pPr>
    </w:pPrDefault>
  </w:docDefaults>
  <w:style w:type="paragraph" w:default="1" w:styleId="style0">
    <w:name w:val="Normal"/>
    <w:next w:val="style0"/>
    <w:qFormat/>
    <w:pPr/>
  </w:style>
  <w:style w:type="paragraph" w:styleId="style1">
    <w:name w:val="heading 1"/>
    <w:basedOn w:val="style0"/>
    <w:next w:val="style0"/>
    <w:link w:val="style4097"/>
    <w:qFormat/>
    <w:uiPriority w:val="9"/>
    <w:pPr>
      <w:keepNext/>
      <w:keepLines/>
      <w:spacing w:before="360" w:after="80"/>
      <w:outlineLvl w:val="0"/>
    </w:pPr>
    <w:rPr>
      <w:rFonts w:ascii="Calibri Light" w:cs="宋体" w:eastAsia="宋体" w:hAnsi="Calibri Light"/>
      <w:color w:val="2f5496"/>
      <w:sz w:val="40"/>
      <w:szCs w:val="40"/>
    </w:rPr>
  </w:style>
  <w:style w:type="paragraph" w:styleId="style2">
    <w:name w:val="heading 2"/>
    <w:basedOn w:val="style0"/>
    <w:next w:val="style0"/>
    <w:link w:val="style4098"/>
    <w:qFormat/>
    <w:uiPriority w:val="9"/>
    <w:pPr>
      <w:keepNext/>
      <w:keepLines/>
      <w:spacing w:before="160" w:after="80"/>
      <w:outlineLvl w:val="1"/>
    </w:pPr>
    <w:rPr>
      <w:rFonts w:ascii="Calibri Light" w:cs="宋体" w:eastAsia="宋体" w:hAnsi="Calibri Light"/>
      <w:color w:val="2f5496"/>
      <w:sz w:val="32"/>
      <w:szCs w:val="32"/>
    </w:rPr>
  </w:style>
  <w:style w:type="paragraph" w:styleId="style3">
    <w:name w:val="heading 3"/>
    <w:basedOn w:val="style0"/>
    <w:next w:val="style0"/>
    <w:link w:val="style4099"/>
    <w:qFormat/>
    <w:uiPriority w:val="9"/>
    <w:pPr>
      <w:keepNext/>
      <w:keepLines/>
      <w:spacing w:before="160" w:after="80"/>
      <w:outlineLvl w:val="2"/>
    </w:pPr>
    <w:rPr>
      <w:rFonts w:cs="宋体" w:eastAsia="宋体"/>
      <w:color w:val="2f5496"/>
      <w:sz w:val="28"/>
      <w:szCs w:val="28"/>
    </w:rPr>
  </w:style>
  <w:style w:type="paragraph" w:styleId="style4">
    <w:name w:val="heading 4"/>
    <w:basedOn w:val="style0"/>
    <w:next w:val="style0"/>
    <w:link w:val="style4100"/>
    <w:qFormat/>
    <w:uiPriority w:val="9"/>
    <w:pPr>
      <w:keepNext/>
      <w:keepLines/>
      <w:spacing w:before="80" w:after="40"/>
      <w:outlineLvl w:val="3"/>
    </w:pPr>
    <w:rPr>
      <w:rFonts w:cs="宋体" w:eastAsia="宋体"/>
      <w:i/>
      <w:iCs/>
      <w:color w:val="2f5496"/>
    </w:rPr>
  </w:style>
  <w:style w:type="paragraph" w:styleId="style5">
    <w:name w:val="heading 5"/>
    <w:basedOn w:val="style0"/>
    <w:next w:val="style0"/>
    <w:link w:val="style4101"/>
    <w:qFormat/>
    <w:uiPriority w:val="9"/>
    <w:pPr>
      <w:keepNext/>
      <w:keepLines/>
      <w:spacing w:before="80" w:after="40"/>
      <w:outlineLvl w:val="4"/>
    </w:pPr>
    <w:rPr>
      <w:rFonts w:cs="宋体" w:eastAsia="宋体"/>
      <w:color w:val="2f5496"/>
    </w:rPr>
  </w:style>
  <w:style w:type="paragraph" w:styleId="style6">
    <w:name w:val="heading 6"/>
    <w:basedOn w:val="style0"/>
    <w:next w:val="style0"/>
    <w:link w:val="style4102"/>
    <w:qFormat/>
    <w:uiPriority w:val="9"/>
    <w:pPr>
      <w:keepNext/>
      <w:keepLines/>
      <w:spacing w:before="40" w:after="0"/>
      <w:outlineLvl w:val="5"/>
    </w:pPr>
    <w:rPr>
      <w:rFonts w:cs="宋体" w:eastAsia="宋体"/>
      <w:i/>
      <w:iCs/>
      <w:color w:val="595959"/>
    </w:rPr>
  </w:style>
  <w:style w:type="paragraph" w:styleId="style7">
    <w:name w:val="heading 7"/>
    <w:basedOn w:val="style0"/>
    <w:next w:val="style0"/>
    <w:link w:val="style4103"/>
    <w:qFormat/>
    <w:uiPriority w:val="9"/>
    <w:pPr>
      <w:keepNext/>
      <w:keepLines/>
      <w:spacing w:before="40" w:after="0"/>
      <w:outlineLvl w:val="6"/>
    </w:pPr>
    <w:rPr>
      <w:rFonts w:cs="宋体" w:eastAsia="宋体"/>
      <w:color w:val="595959"/>
    </w:rPr>
  </w:style>
  <w:style w:type="paragraph" w:styleId="style8">
    <w:name w:val="heading 8"/>
    <w:basedOn w:val="style0"/>
    <w:next w:val="style0"/>
    <w:link w:val="style4104"/>
    <w:qFormat/>
    <w:uiPriority w:val="9"/>
    <w:pPr>
      <w:keepNext/>
      <w:keepLines/>
      <w:spacing w:after="0"/>
      <w:outlineLvl w:val="7"/>
    </w:pPr>
    <w:rPr>
      <w:rFonts w:cs="宋体" w:eastAsia="宋体"/>
      <w:i/>
      <w:iCs/>
      <w:color w:val="272727"/>
    </w:rPr>
  </w:style>
  <w:style w:type="paragraph" w:styleId="style9">
    <w:name w:val="heading 9"/>
    <w:basedOn w:val="style0"/>
    <w:next w:val="style0"/>
    <w:link w:val="style4105"/>
    <w:qFormat/>
    <w:uiPriority w:val="9"/>
    <w:pPr>
      <w:keepNext/>
      <w:keepLines/>
      <w:spacing w:after="0"/>
      <w:outlineLvl w:val="8"/>
    </w:pPr>
    <w:rPr>
      <w:rFonts w:cs="宋体" w:eastAsia="宋体"/>
      <w:color w:val="272727"/>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1 Char_8dcb6144-b6a7-4504-8162-a525ec7d496b"/>
    <w:basedOn w:val="style65"/>
    <w:next w:val="style4097"/>
    <w:link w:val="style1"/>
    <w:uiPriority w:val="9"/>
    <w:rPr>
      <w:rFonts w:ascii="Calibri Light" w:cs="宋体" w:eastAsia="宋体" w:hAnsi="Calibri Light"/>
      <w:color w:val="2f5496"/>
      <w:sz w:val="40"/>
      <w:szCs w:val="40"/>
    </w:rPr>
  </w:style>
  <w:style w:type="character" w:customStyle="1" w:styleId="style4098">
    <w:name w:val="Heading 2 Char_71fb5536-9565-4c55-858f-e0cac36523fb"/>
    <w:basedOn w:val="style65"/>
    <w:next w:val="style4098"/>
    <w:link w:val="style2"/>
    <w:uiPriority w:val="9"/>
    <w:rPr>
      <w:rFonts w:ascii="Calibri Light" w:cs="宋体" w:eastAsia="宋体" w:hAnsi="Calibri Light"/>
      <w:color w:val="2f5496"/>
      <w:sz w:val="32"/>
      <w:szCs w:val="32"/>
    </w:rPr>
  </w:style>
  <w:style w:type="character" w:customStyle="1" w:styleId="style4099">
    <w:name w:val="Heading 3 Char_e513066f-b318-4f6c-950d-839a01b3ccd4"/>
    <w:basedOn w:val="style65"/>
    <w:next w:val="style4099"/>
    <w:link w:val="style3"/>
    <w:uiPriority w:val="9"/>
    <w:rPr>
      <w:rFonts w:cs="宋体" w:eastAsia="宋体"/>
      <w:color w:val="2f5496"/>
      <w:sz w:val="28"/>
      <w:szCs w:val="28"/>
    </w:rPr>
  </w:style>
  <w:style w:type="character" w:customStyle="1" w:styleId="style4100">
    <w:name w:val="Heading 4 Char_a4e5d1df-5c9a-406f-94a3-1557c820d8da"/>
    <w:basedOn w:val="style65"/>
    <w:next w:val="style4100"/>
    <w:link w:val="style4"/>
    <w:uiPriority w:val="9"/>
    <w:rPr>
      <w:rFonts w:cs="宋体" w:eastAsia="宋体"/>
      <w:i/>
      <w:iCs/>
      <w:color w:val="2f5496"/>
    </w:rPr>
  </w:style>
  <w:style w:type="character" w:customStyle="1" w:styleId="style4101">
    <w:name w:val="Heading 5 Char_8e0baed1-6c79-4a38-aa2b-91e57b11cda6"/>
    <w:basedOn w:val="style65"/>
    <w:next w:val="style4101"/>
    <w:link w:val="style5"/>
    <w:uiPriority w:val="9"/>
    <w:rPr>
      <w:rFonts w:cs="宋体" w:eastAsia="宋体"/>
      <w:color w:val="2f5496"/>
    </w:rPr>
  </w:style>
  <w:style w:type="character" w:customStyle="1" w:styleId="style4102">
    <w:name w:val="Heading 6 Char_7e46a47c-c85b-45aa-95f8-fea6fefd8b81"/>
    <w:basedOn w:val="style65"/>
    <w:next w:val="style4102"/>
    <w:link w:val="style6"/>
    <w:uiPriority w:val="9"/>
    <w:rPr>
      <w:rFonts w:cs="宋体" w:eastAsia="宋体"/>
      <w:i/>
      <w:iCs/>
      <w:color w:val="595959"/>
    </w:rPr>
  </w:style>
  <w:style w:type="character" w:customStyle="1" w:styleId="style4103">
    <w:name w:val="Heading 7 Char_9ceb8f93-331b-47e0-96dd-7020874f5e01"/>
    <w:basedOn w:val="style65"/>
    <w:next w:val="style4103"/>
    <w:link w:val="style7"/>
    <w:uiPriority w:val="9"/>
    <w:rPr>
      <w:rFonts w:cs="宋体" w:eastAsia="宋体"/>
      <w:color w:val="595959"/>
    </w:rPr>
  </w:style>
  <w:style w:type="character" w:customStyle="1" w:styleId="style4104">
    <w:name w:val="Heading 8 Char_2a51f47e-6734-4bee-b062-ee86a902d0d6"/>
    <w:basedOn w:val="style65"/>
    <w:next w:val="style4104"/>
    <w:link w:val="style8"/>
    <w:uiPriority w:val="9"/>
    <w:rPr>
      <w:rFonts w:cs="宋体" w:eastAsia="宋体"/>
      <w:i/>
      <w:iCs/>
      <w:color w:val="272727"/>
    </w:rPr>
  </w:style>
  <w:style w:type="character" w:customStyle="1" w:styleId="style4105">
    <w:name w:val="Heading 9 Char_1f8e1c0d-bcf8-43fb-86bb-0a9c540705f6"/>
    <w:basedOn w:val="style65"/>
    <w:next w:val="style4105"/>
    <w:link w:val="style9"/>
    <w:uiPriority w:val="9"/>
    <w:rPr>
      <w:rFonts w:cs="宋体" w:eastAsia="宋体"/>
      <w:color w:val="272727"/>
    </w:rPr>
  </w:style>
  <w:style w:type="paragraph" w:styleId="style62">
    <w:name w:val="Title"/>
    <w:basedOn w:val="style0"/>
    <w:next w:val="style0"/>
    <w:link w:val="style4106"/>
    <w:qFormat/>
    <w:uiPriority w:val="10"/>
    <w:pPr>
      <w:spacing w:after="80" w:lineRule="auto" w:line="240"/>
      <w:contextualSpacing/>
    </w:pPr>
    <w:rPr>
      <w:rFonts w:ascii="Calibri Light" w:cs="宋体" w:eastAsia="宋体" w:hAnsi="Calibri Light"/>
      <w:spacing w:val="-10"/>
      <w:kern w:val="28"/>
      <w:sz w:val="56"/>
      <w:szCs w:val="56"/>
    </w:rPr>
  </w:style>
  <w:style w:type="character" w:customStyle="1" w:styleId="style4106">
    <w:name w:val="Title Char_3b537910-66b5-4c5e-a2e4-ad6483483191"/>
    <w:basedOn w:val="style65"/>
    <w:next w:val="style4106"/>
    <w:link w:val="style62"/>
    <w:uiPriority w:val="10"/>
    <w:rPr>
      <w:rFonts w:ascii="Calibri Light" w:cs="宋体" w:eastAsia="宋体" w:hAnsi="Calibri Light"/>
      <w:spacing w:val="-10"/>
      <w:kern w:val="28"/>
      <w:sz w:val="56"/>
      <w:szCs w:val="56"/>
    </w:rPr>
  </w:style>
  <w:style w:type="paragraph" w:styleId="style74">
    <w:name w:val="Subtitle"/>
    <w:basedOn w:val="style0"/>
    <w:next w:val="style0"/>
    <w:link w:val="style4107"/>
    <w:qFormat/>
    <w:uiPriority w:val="11"/>
    <w:pPr>
      <w:numPr>
        <w:ilvl w:val="1"/>
        <w:numId w:val="0"/>
      </w:numPr>
    </w:pPr>
    <w:rPr>
      <w:rFonts w:cs="宋体" w:eastAsia="宋体"/>
      <w:color w:val="595959"/>
      <w:spacing w:val="15"/>
      <w:sz w:val="28"/>
      <w:szCs w:val="28"/>
    </w:rPr>
  </w:style>
  <w:style w:type="character" w:customStyle="1" w:styleId="style4107">
    <w:name w:val="Subtitle Char"/>
    <w:basedOn w:val="style65"/>
    <w:next w:val="style4107"/>
    <w:link w:val="style74"/>
    <w:uiPriority w:val="11"/>
    <w:rPr>
      <w:rFonts w:cs="宋体" w:eastAsia="宋体"/>
      <w:color w:val="595959"/>
      <w:spacing w:val="15"/>
      <w:sz w:val="28"/>
      <w:szCs w:val="28"/>
    </w:rPr>
  </w:style>
  <w:style w:type="paragraph" w:styleId="style180">
    <w:name w:val="Quote"/>
    <w:basedOn w:val="style0"/>
    <w:next w:val="style0"/>
    <w:link w:val="style4108"/>
    <w:qFormat/>
    <w:uiPriority w:val="29"/>
    <w:pPr>
      <w:spacing w:before="160"/>
      <w:jc w:val="center"/>
    </w:pPr>
    <w:rPr>
      <w:i/>
      <w:iCs/>
      <w:color w:val="404040"/>
    </w:rPr>
  </w:style>
  <w:style w:type="character" w:customStyle="1" w:styleId="style4108">
    <w:name w:val="Quote Char_29a32640-f6ae-4307-9d3c-3dbcc7c3262d"/>
    <w:basedOn w:val="style65"/>
    <w:next w:val="style4108"/>
    <w:link w:val="style180"/>
    <w:uiPriority w:val="29"/>
    <w:rPr>
      <w:i/>
      <w:iCs/>
      <w:color w:val="404040"/>
    </w:rPr>
  </w:style>
  <w:style w:type="paragraph" w:styleId="style179">
    <w:name w:val="List Paragraph"/>
    <w:basedOn w:val="style0"/>
    <w:next w:val="style179"/>
    <w:qFormat/>
    <w:uiPriority w:val="34"/>
    <w:pPr>
      <w:ind w:left="720"/>
      <w:contextualSpacing/>
    </w:pPr>
    <w:rPr/>
  </w:style>
  <w:style w:type="character" w:styleId="style261">
    <w:name w:val="Intense Emphasis"/>
    <w:basedOn w:val="style65"/>
    <w:next w:val="style261"/>
    <w:qFormat/>
    <w:uiPriority w:val="21"/>
    <w:rPr>
      <w:i/>
      <w:iCs/>
      <w:color w:val="2f5496"/>
    </w:rPr>
  </w:style>
  <w:style w:type="paragraph" w:styleId="style181">
    <w:name w:val="Intense Quote"/>
    <w:basedOn w:val="style0"/>
    <w:next w:val="style0"/>
    <w:link w:val="style4109"/>
    <w:qFormat/>
    <w:uiPriority w:val="30"/>
    <w:pPr>
      <w:pBdr>
        <w:top w:val="single" w:sz="4" w:space="10" w:color="2f5496"/>
        <w:bottom w:val="single" w:sz="4" w:space="10" w:color="2f5496"/>
      </w:pBdr>
      <w:spacing w:before="360" w:after="360"/>
      <w:ind w:left="864" w:right="864"/>
      <w:jc w:val="center"/>
    </w:pPr>
    <w:rPr>
      <w:i/>
      <w:iCs/>
      <w:color w:val="2f5496"/>
    </w:rPr>
  </w:style>
  <w:style w:type="character" w:customStyle="1" w:styleId="style4109">
    <w:name w:val="Intense Quote Char_897e9492-2a4d-44c3-97d3-9d084e30f644"/>
    <w:basedOn w:val="style65"/>
    <w:next w:val="style4109"/>
    <w:link w:val="style181"/>
    <w:uiPriority w:val="30"/>
    <w:rPr>
      <w:i/>
      <w:iCs/>
      <w:color w:val="2f5496"/>
    </w:rPr>
  </w:style>
  <w:style w:type="character" w:styleId="style263">
    <w:name w:val="Intense Reference"/>
    <w:basedOn w:val="style65"/>
    <w:next w:val="style263"/>
    <w:qFormat/>
    <w:uiPriority w:val="32"/>
    <w:rPr>
      <w:b/>
      <w:bCs/>
      <w:smallCaps/>
      <w:color w:val="2f5496"/>
      <w:spacing w:val="5"/>
    </w:rPr>
  </w:style>
  <w:style w:type="character" w:customStyle="1" w:styleId="style4110">
    <w:name w:val="math-inline"/>
    <w:basedOn w:val="style65"/>
    <w:next w:val="style4110"/>
  </w:style>
  <w:style w:type="table" w:styleId="style154">
    <w:name w:val="Table Grid"/>
    <w:basedOn w:val="style105"/>
    <w:next w:val="style154"/>
    <w:uiPriority w:val="39"/>
    <w:pPr>
      <w:spacing w:after="0" w:lineRule="auto" w:line="240"/>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character" w:styleId="style85">
    <w:name w:val="Hyperlink"/>
    <w:basedOn w:val="style65"/>
    <w:next w:val="style85"/>
    <w:uiPriority w:val="99"/>
    <w:rPr>
      <w:color w:val="0563c1"/>
      <w:u w:val="single"/>
    </w:rPr>
  </w:style>
  <w:style w:type="character" w:customStyle="1" w:styleId="style4111">
    <w:name w:val="Unresolved Mention"/>
    <w:basedOn w:val="style65"/>
    <w:next w:val="style4111"/>
    <w:uiPriority w:val="99"/>
    <w:rPr>
      <w:color w:val="605e5c"/>
      <w:shd w:val="clear" w:color="auto" w:fill="e1dfdd"/>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9" Type="http://schemas.openxmlformats.org/officeDocument/2006/relationships/theme" Target="theme/theme1.xml"/><Relationship Id="rId5" Type="http://schemas.openxmlformats.org/officeDocument/2006/relationships/image" Target="media/image4.png"/><Relationship Id="rId6" Type="http://schemas.openxmlformats.org/officeDocument/2006/relationships/styles" Target="styles.xml"/><Relationship Id="rId7" Type="http://schemas.openxmlformats.org/officeDocument/2006/relationships/fontTable" Target="fontTable.xml"/><Relationship Id="rId8"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TotalTime>
  <Words>3416</Words>
  <Pages>10</Pages>
  <Characters>22677</Characters>
  <Application>WPS Office</Application>
  <DocSecurity>0</DocSecurity>
  <Paragraphs>138</Paragraphs>
  <ScaleCrop>false</ScaleCrop>
  <LinksUpToDate>false</LinksUpToDate>
  <CharactersWithSpaces>26001</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2026-06-06T23:45:00Z</dcterms:created>
  <dc:creator>User</dc:creator>
  <lastModifiedBy>TECNO CG6</lastModifiedBy>
  <dcterms:modified xsi:type="dcterms:W3CDTF">2026-06-07T19:17:31Z</dcterms:modified>
  <revision>7</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1716b3c2a546462e8de5d1b8d1d790ac</vt:lpwstr>
  </property>
</Properties>
</file>